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860" w:rsidRDefault="00800860">
      <w:pPr>
        <w:pStyle w:val="11"/>
      </w:pPr>
      <w:bookmarkStart w:id="0" w:name="_Toc142365367"/>
      <w:bookmarkStart w:id="1" w:name="_Toc142366950"/>
      <w:bookmarkStart w:id="2" w:name="_Toc142485660"/>
      <w:bookmarkStart w:id="3" w:name="_Toc142485763"/>
    </w:p>
    <w:p w:rsidR="00C47CD0" w:rsidRDefault="00800860">
      <w:pPr>
        <w:pStyle w:val="11"/>
      </w:pPr>
      <w:r w:rsidRPr="00800860">
        <w:rPr>
          <w:noProof/>
        </w:rPr>
        <w:drawing>
          <wp:inline distT="0" distB="0" distL="0" distR="0">
            <wp:extent cx="3389630" cy="993140"/>
            <wp:effectExtent l="0" t="0" r="0" b="0"/>
            <wp:docPr id="10" name="图片 10" descr="C:\Users\jwk\Desktop\2013060611581439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k\Desktop\201306061158143977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630" cy="993140"/>
                    </a:xfrm>
                    <a:prstGeom prst="rect">
                      <a:avLst/>
                    </a:prstGeom>
                    <a:noFill/>
                    <a:ln>
                      <a:noFill/>
                    </a:ln>
                  </pic:spPr>
                </pic:pic>
              </a:graphicData>
            </a:graphic>
          </wp:inline>
        </w:drawing>
      </w:r>
    </w:p>
    <w:bookmarkEnd w:id="0"/>
    <w:bookmarkEnd w:id="1"/>
    <w:bookmarkEnd w:id="2"/>
    <w:bookmarkEnd w:id="3"/>
    <w:p w:rsidR="00C47CD0" w:rsidRPr="00800860" w:rsidRDefault="00081AE9">
      <w:pPr>
        <w:jc w:val="center"/>
        <w:rPr>
          <w:rFonts w:ascii="仿宋_GB2312" w:eastAsia="仿宋_GB2312"/>
          <w:sz w:val="84"/>
          <w:szCs w:val="84"/>
        </w:rPr>
      </w:pPr>
      <w:r w:rsidRPr="00800860">
        <w:rPr>
          <w:rFonts w:ascii="仿宋_GB2312" w:eastAsia="仿宋_GB2312" w:hint="eastAsia"/>
          <w:sz w:val="84"/>
          <w:szCs w:val="84"/>
        </w:rPr>
        <w:t>本科教学质量报告</w:t>
      </w:r>
    </w:p>
    <w:p w:rsidR="00C47CD0" w:rsidRPr="00800860" w:rsidRDefault="00800860">
      <w:pPr>
        <w:pStyle w:val="11"/>
        <w:rPr>
          <w:b w:val="0"/>
          <w:kern w:val="2"/>
          <w:sz w:val="72"/>
          <w:szCs w:val="72"/>
        </w:rPr>
      </w:pPr>
      <w:r w:rsidRPr="00800860">
        <w:rPr>
          <w:rFonts w:hint="eastAsia"/>
          <w:b w:val="0"/>
          <w:kern w:val="2"/>
          <w:sz w:val="72"/>
          <w:szCs w:val="72"/>
        </w:rPr>
        <w:t>（</w:t>
      </w:r>
      <w:r w:rsidRPr="00800860">
        <w:rPr>
          <w:rFonts w:hint="eastAsia"/>
          <w:b w:val="0"/>
          <w:kern w:val="2"/>
          <w:sz w:val="72"/>
          <w:szCs w:val="72"/>
        </w:rPr>
        <w:t>201</w:t>
      </w:r>
      <w:r w:rsidRPr="00800860">
        <w:rPr>
          <w:b w:val="0"/>
          <w:kern w:val="2"/>
          <w:sz w:val="72"/>
          <w:szCs w:val="72"/>
        </w:rPr>
        <w:t>5</w:t>
      </w:r>
      <w:r w:rsidRPr="00800860">
        <w:rPr>
          <w:rFonts w:hint="eastAsia"/>
          <w:b w:val="0"/>
          <w:kern w:val="2"/>
          <w:sz w:val="72"/>
          <w:szCs w:val="72"/>
        </w:rPr>
        <w:t>）</w:t>
      </w:r>
    </w:p>
    <w:p w:rsidR="00C47CD0" w:rsidRDefault="00C47CD0">
      <w:pPr>
        <w:pStyle w:val="11"/>
      </w:pPr>
    </w:p>
    <w:p w:rsidR="00C47CD0" w:rsidRDefault="00800860">
      <w:pPr>
        <w:pStyle w:val="11"/>
      </w:pPr>
      <w:r>
        <w:rPr>
          <w:noProof/>
        </w:rPr>
        <w:drawing>
          <wp:inline distT="0" distB="0" distL="0" distR="0" wp14:anchorId="25877F7B" wp14:editId="5A32636E">
            <wp:extent cx="1546205" cy="15468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iaohui"/>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6205" cy="1546860"/>
                    </a:xfrm>
                    <a:prstGeom prst="rect">
                      <a:avLst/>
                    </a:prstGeom>
                    <a:noFill/>
                    <a:ln>
                      <a:noFill/>
                    </a:ln>
                  </pic:spPr>
                </pic:pic>
              </a:graphicData>
            </a:graphic>
          </wp:inline>
        </w:drawing>
      </w:r>
      <w:bookmarkStart w:id="4" w:name="_GoBack"/>
      <w:bookmarkEnd w:id="4"/>
    </w:p>
    <w:p w:rsidR="00C47CD0" w:rsidRDefault="00C47CD0">
      <w:pPr>
        <w:jc w:val="center"/>
        <w:rPr>
          <w:rFonts w:ascii="仿宋_GB2312" w:eastAsia="仿宋_GB2312"/>
          <w:sz w:val="68"/>
          <w:szCs w:val="84"/>
        </w:rPr>
      </w:pPr>
      <w:bookmarkStart w:id="5" w:name="_Toc142365366"/>
      <w:bookmarkStart w:id="6" w:name="_Toc142485659"/>
      <w:bookmarkStart w:id="7" w:name="_Toc142485762"/>
      <w:bookmarkStart w:id="8" w:name="_Toc142366949"/>
      <w:bookmarkStart w:id="9" w:name="_Toc142922277"/>
      <w:bookmarkStart w:id="10" w:name="_Toc142922549"/>
    </w:p>
    <w:bookmarkEnd w:id="5"/>
    <w:bookmarkEnd w:id="6"/>
    <w:bookmarkEnd w:id="7"/>
    <w:bookmarkEnd w:id="8"/>
    <w:bookmarkEnd w:id="9"/>
    <w:bookmarkEnd w:id="10"/>
    <w:p w:rsidR="00C47CD0" w:rsidRDefault="00C47CD0">
      <w:pPr>
        <w:pStyle w:val="11"/>
      </w:pPr>
    </w:p>
    <w:p w:rsidR="00C47CD0" w:rsidRDefault="00C47CD0">
      <w:pPr>
        <w:pStyle w:val="20"/>
      </w:pPr>
      <w:bookmarkStart w:id="11" w:name="_Toc142365369"/>
      <w:bookmarkStart w:id="12" w:name="_Toc142366952"/>
      <w:bookmarkStart w:id="13" w:name="_Toc142485662"/>
      <w:bookmarkStart w:id="14" w:name="_Toc142485765"/>
      <w:bookmarkStart w:id="15" w:name="_Toc142922280"/>
      <w:bookmarkStart w:id="16" w:name="_Toc142922552"/>
    </w:p>
    <w:p w:rsidR="00C47CD0" w:rsidRDefault="00081AE9">
      <w:pPr>
        <w:pStyle w:val="20"/>
      </w:pPr>
      <w:r>
        <w:rPr>
          <w:rFonts w:hint="eastAsia"/>
        </w:rPr>
        <w:t>二○一六年十一月</w:t>
      </w:r>
      <w:bookmarkEnd w:id="11"/>
      <w:bookmarkEnd w:id="12"/>
      <w:bookmarkEnd w:id="13"/>
      <w:bookmarkEnd w:id="14"/>
      <w:bookmarkEnd w:id="15"/>
      <w:bookmarkEnd w:id="16"/>
    </w:p>
    <w:p w:rsidR="00C47CD0" w:rsidRDefault="00081AE9">
      <w:pPr>
        <w:widowControl/>
        <w:jc w:val="left"/>
      </w:pPr>
      <w:r>
        <w:br w:type="page"/>
      </w:r>
    </w:p>
    <w:p w:rsidR="00C47CD0" w:rsidRDefault="00081AE9" w:rsidP="006852D9">
      <w:pPr>
        <w:spacing w:beforeLines="50" w:before="156" w:afterLines="50" w:after="156"/>
        <w:jc w:val="center"/>
        <w:rPr>
          <w:rFonts w:ascii="仿宋_GB2312" w:eastAsia="仿宋_GB2312"/>
          <w:b/>
          <w:sz w:val="52"/>
          <w:szCs w:val="52"/>
        </w:rPr>
      </w:pPr>
      <w:r>
        <w:rPr>
          <w:rFonts w:ascii="仿宋_GB2312" w:eastAsia="仿宋_GB2312" w:hint="eastAsia"/>
          <w:b/>
          <w:sz w:val="52"/>
          <w:szCs w:val="52"/>
        </w:rPr>
        <w:lastRenderedPageBreak/>
        <w:t>目   录</w:t>
      </w:r>
    </w:p>
    <w:p w:rsidR="00C47CD0" w:rsidRDefault="00C47CD0" w:rsidP="006852D9">
      <w:pPr>
        <w:spacing w:beforeLines="50" w:before="156" w:afterLines="50" w:after="156"/>
        <w:jc w:val="center"/>
        <w:rPr>
          <w:rFonts w:ascii="仿宋_GB2312" w:eastAsia="仿宋_GB2312"/>
          <w:b/>
          <w:sz w:val="52"/>
          <w:szCs w:val="52"/>
        </w:rPr>
      </w:pPr>
    </w:p>
    <w:p w:rsidR="00C47CD0" w:rsidRDefault="006852D9">
      <w:pPr>
        <w:pStyle w:val="10"/>
        <w:rPr>
          <w:rFonts w:ascii="Calibri" w:hAnsi="Calibri"/>
          <w:noProof/>
          <w:sz w:val="21"/>
          <w:szCs w:val="22"/>
        </w:rPr>
      </w:pPr>
      <w:r>
        <w:rPr>
          <w:rFonts w:ascii="仿宋_GB2312" w:eastAsia="仿宋_GB2312"/>
          <w:b/>
        </w:rPr>
        <w:fldChar w:fldCharType="begin"/>
      </w:r>
      <w:r w:rsidR="00081AE9">
        <w:rPr>
          <w:rFonts w:ascii="仿宋_GB2312" w:eastAsia="仿宋_GB2312"/>
          <w:b/>
        </w:rPr>
        <w:instrText xml:space="preserve"> TOC \o "1-3" \h \z \u </w:instrText>
      </w:r>
      <w:r>
        <w:rPr>
          <w:rFonts w:ascii="仿宋_GB2312" w:eastAsia="仿宋_GB2312"/>
          <w:b/>
        </w:rPr>
        <w:fldChar w:fldCharType="separate"/>
      </w:r>
      <w:hyperlink w:anchor="_Toc435713867" w:history="1">
        <w:r w:rsidR="00081AE9">
          <w:rPr>
            <w:rStyle w:val="ab"/>
            <w:rFonts w:hint="eastAsia"/>
            <w:noProof/>
          </w:rPr>
          <w:t>一、学校概况</w:t>
        </w:r>
        <w:r w:rsidR="00081AE9">
          <w:rPr>
            <w:noProof/>
          </w:rPr>
          <w:tab/>
        </w:r>
        <w:r>
          <w:rPr>
            <w:noProof/>
          </w:rPr>
          <w:fldChar w:fldCharType="begin"/>
        </w:r>
        <w:r w:rsidR="00081AE9">
          <w:rPr>
            <w:noProof/>
          </w:rPr>
          <w:instrText xml:space="preserve"> PAGEREF _Toc435713867 \h </w:instrText>
        </w:r>
        <w:r>
          <w:rPr>
            <w:noProof/>
          </w:rPr>
        </w:r>
        <w:r>
          <w:rPr>
            <w:noProof/>
          </w:rPr>
          <w:fldChar w:fldCharType="separate"/>
        </w:r>
        <w:r w:rsidR="00D272F2">
          <w:rPr>
            <w:noProof/>
          </w:rPr>
          <w:t>2</w:t>
        </w:r>
        <w:r>
          <w:rPr>
            <w:noProof/>
          </w:rPr>
          <w:fldChar w:fldCharType="end"/>
        </w:r>
      </w:hyperlink>
    </w:p>
    <w:p w:rsidR="00C47CD0" w:rsidRDefault="009449D3">
      <w:pPr>
        <w:pStyle w:val="10"/>
        <w:rPr>
          <w:rFonts w:ascii="Calibri" w:hAnsi="Calibri"/>
          <w:noProof/>
          <w:sz w:val="21"/>
          <w:szCs w:val="22"/>
        </w:rPr>
      </w:pPr>
      <w:hyperlink w:anchor="_Toc435713868" w:history="1">
        <w:r w:rsidR="00081AE9">
          <w:rPr>
            <w:rStyle w:val="ab"/>
            <w:rFonts w:hint="eastAsia"/>
            <w:noProof/>
          </w:rPr>
          <w:t>二、本科教学基本情况</w:t>
        </w:r>
        <w:r w:rsidR="00081AE9">
          <w:rPr>
            <w:noProof/>
          </w:rPr>
          <w:tab/>
        </w:r>
        <w:r w:rsidR="006852D9">
          <w:rPr>
            <w:noProof/>
          </w:rPr>
          <w:fldChar w:fldCharType="begin"/>
        </w:r>
        <w:r w:rsidR="00081AE9">
          <w:rPr>
            <w:noProof/>
          </w:rPr>
          <w:instrText xml:space="preserve"> PAGEREF _Toc435713868 \h </w:instrText>
        </w:r>
        <w:r w:rsidR="006852D9">
          <w:rPr>
            <w:noProof/>
          </w:rPr>
        </w:r>
        <w:r w:rsidR="006852D9">
          <w:rPr>
            <w:noProof/>
          </w:rPr>
          <w:fldChar w:fldCharType="separate"/>
        </w:r>
        <w:r w:rsidR="00D272F2">
          <w:rPr>
            <w:noProof/>
          </w:rPr>
          <w:t>5</w:t>
        </w:r>
        <w:r w:rsidR="006852D9">
          <w:rPr>
            <w:noProof/>
          </w:rPr>
          <w:fldChar w:fldCharType="end"/>
        </w:r>
      </w:hyperlink>
    </w:p>
    <w:p w:rsidR="00C47CD0" w:rsidRDefault="009449D3">
      <w:pPr>
        <w:pStyle w:val="10"/>
        <w:rPr>
          <w:rFonts w:ascii="Calibri" w:hAnsi="Calibri"/>
          <w:noProof/>
          <w:sz w:val="21"/>
          <w:szCs w:val="22"/>
        </w:rPr>
      </w:pPr>
      <w:hyperlink w:anchor="_Toc435713873" w:history="1">
        <w:r w:rsidR="00081AE9">
          <w:rPr>
            <w:rStyle w:val="ab"/>
            <w:rFonts w:hint="eastAsia"/>
            <w:noProof/>
          </w:rPr>
          <w:t>三、师资与教学条件</w:t>
        </w:r>
        <w:r w:rsidR="00081AE9">
          <w:rPr>
            <w:noProof/>
          </w:rPr>
          <w:tab/>
        </w:r>
        <w:r w:rsidR="006852D9">
          <w:rPr>
            <w:noProof/>
          </w:rPr>
          <w:fldChar w:fldCharType="begin"/>
        </w:r>
        <w:r w:rsidR="00081AE9">
          <w:rPr>
            <w:noProof/>
          </w:rPr>
          <w:instrText xml:space="preserve"> PAGEREF _Toc435713873 \h </w:instrText>
        </w:r>
        <w:r w:rsidR="006852D9">
          <w:rPr>
            <w:noProof/>
          </w:rPr>
        </w:r>
        <w:r w:rsidR="006852D9">
          <w:rPr>
            <w:noProof/>
          </w:rPr>
          <w:fldChar w:fldCharType="separate"/>
        </w:r>
        <w:r w:rsidR="00D272F2">
          <w:rPr>
            <w:noProof/>
          </w:rPr>
          <w:t>9</w:t>
        </w:r>
        <w:r w:rsidR="006852D9">
          <w:rPr>
            <w:noProof/>
          </w:rPr>
          <w:fldChar w:fldCharType="end"/>
        </w:r>
      </w:hyperlink>
    </w:p>
    <w:p w:rsidR="00C47CD0" w:rsidRDefault="009449D3">
      <w:pPr>
        <w:pStyle w:val="10"/>
        <w:rPr>
          <w:rFonts w:ascii="Calibri" w:hAnsi="Calibri"/>
          <w:noProof/>
          <w:sz w:val="21"/>
          <w:szCs w:val="22"/>
        </w:rPr>
      </w:pPr>
      <w:hyperlink w:anchor="_Toc435713883" w:history="1">
        <w:r w:rsidR="00081AE9">
          <w:rPr>
            <w:rStyle w:val="ab"/>
            <w:rFonts w:hint="eastAsia"/>
            <w:noProof/>
          </w:rPr>
          <w:t>四、教学建设与改革</w:t>
        </w:r>
        <w:r w:rsidR="00081AE9">
          <w:rPr>
            <w:noProof/>
          </w:rPr>
          <w:tab/>
        </w:r>
        <w:r w:rsidR="006852D9">
          <w:rPr>
            <w:noProof/>
          </w:rPr>
          <w:fldChar w:fldCharType="begin"/>
        </w:r>
        <w:r w:rsidR="00081AE9">
          <w:rPr>
            <w:noProof/>
          </w:rPr>
          <w:instrText xml:space="preserve"> PAGEREF _Toc435713883 \h </w:instrText>
        </w:r>
        <w:r w:rsidR="006852D9">
          <w:rPr>
            <w:noProof/>
          </w:rPr>
        </w:r>
        <w:r w:rsidR="006852D9">
          <w:rPr>
            <w:noProof/>
          </w:rPr>
          <w:fldChar w:fldCharType="separate"/>
        </w:r>
        <w:r w:rsidR="00D272F2">
          <w:rPr>
            <w:noProof/>
          </w:rPr>
          <w:t>28</w:t>
        </w:r>
        <w:r w:rsidR="006852D9">
          <w:rPr>
            <w:noProof/>
          </w:rPr>
          <w:fldChar w:fldCharType="end"/>
        </w:r>
      </w:hyperlink>
    </w:p>
    <w:p w:rsidR="00C47CD0" w:rsidRDefault="009449D3">
      <w:pPr>
        <w:pStyle w:val="10"/>
        <w:rPr>
          <w:rFonts w:ascii="Calibri" w:hAnsi="Calibri"/>
          <w:noProof/>
          <w:sz w:val="21"/>
          <w:szCs w:val="22"/>
        </w:rPr>
      </w:pPr>
      <w:hyperlink w:anchor="_Toc435713892" w:history="1">
        <w:r w:rsidR="00081AE9">
          <w:rPr>
            <w:rStyle w:val="ab"/>
            <w:rFonts w:hint="eastAsia"/>
            <w:noProof/>
          </w:rPr>
          <w:t>五、质量保障体系</w:t>
        </w:r>
        <w:r w:rsidR="00081AE9">
          <w:rPr>
            <w:noProof/>
          </w:rPr>
          <w:tab/>
        </w:r>
        <w:r w:rsidR="006852D9">
          <w:rPr>
            <w:noProof/>
          </w:rPr>
          <w:fldChar w:fldCharType="begin"/>
        </w:r>
        <w:r w:rsidR="00081AE9">
          <w:rPr>
            <w:noProof/>
          </w:rPr>
          <w:instrText xml:space="preserve"> PAGEREF _Toc435713892 \h </w:instrText>
        </w:r>
        <w:r w:rsidR="006852D9">
          <w:rPr>
            <w:noProof/>
          </w:rPr>
        </w:r>
        <w:r w:rsidR="006852D9">
          <w:rPr>
            <w:noProof/>
          </w:rPr>
          <w:fldChar w:fldCharType="separate"/>
        </w:r>
        <w:r w:rsidR="00D272F2">
          <w:rPr>
            <w:noProof/>
          </w:rPr>
          <w:t>42</w:t>
        </w:r>
        <w:r w:rsidR="006852D9">
          <w:rPr>
            <w:noProof/>
          </w:rPr>
          <w:fldChar w:fldCharType="end"/>
        </w:r>
      </w:hyperlink>
    </w:p>
    <w:p w:rsidR="00C47CD0" w:rsidRDefault="009449D3">
      <w:pPr>
        <w:pStyle w:val="10"/>
        <w:rPr>
          <w:rFonts w:ascii="Calibri" w:hAnsi="Calibri"/>
          <w:noProof/>
          <w:sz w:val="21"/>
          <w:szCs w:val="22"/>
        </w:rPr>
      </w:pPr>
      <w:hyperlink w:anchor="_Toc435713899" w:history="1">
        <w:r w:rsidR="00081AE9">
          <w:rPr>
            <w:rStyle w:val="ab"/>
            <w:rFonts w:hint="eastAsia"/>
            <w:noProof/>
          </w:rPr>
          <w:t>六、学生学习效果</w:t>
        </w:r>
        <w:r w:rsidR="00081AE9">
          <w:rPr>
            <w:noProof/>
          </w:rPr>
          <w:tab/>
        </w:r>
        <w:r w:rsidR="006852D9">
          <w:rPr>
            <w:noProof/>
          </w:rPr>
          <w:fldChar w:fldCharType="begin"/>
        </w:r>
        <w:r w:rsidR="00081AE9">
          <w:rPr>
            <w:noProof/>
          </w:rPr>
          <w:instrText xml:space="preserve"> PAGEREF _Toc435713899 \h </w:instrText>
        </w:r>
        <w:r w:rsidR="006852D9">
          <w:rPr>
            <w:noProof/>
          </w:rPr>
        </w:r>
        <w:r w:rsidR="006852D9">
          <w:rPr>
            <w:noProof/>
          </w:rPr>
          <w:fldChar w:fldCharType="separate"/>
        </w:r>
        <w:r w:rsidR="00D272F2">
          <w:rPr>
            <w:noProof/>
          </w:rPr>
          <w:t>51</w:t>
        </w:r>
        <w:r w:rsidR="006852D9">
          <w:rPr>
            <w:noProof/>
          </w:rPr>
          <w:fldChar w:fldCharType="end"/>
        </w:r>
      </w:hyperlink>
    </w:p>
    <w:p w:rsidR="00C47CD0" w:rsidRDefault="009449D3">
      <w:pPr>
        <w:pStyle w:val="10"/>
        <w:rPr>
          <w:rFonts w:ascii="Calibri" w:hAnsi="Calibri"/>
          <w:noProof/>
          <w:sz w:val="21"/>
          <w:szCs w:val="22"/>
        </w:rPr>
      </w:pPr>
      <w:hyperlink w:anchor="_Toc435713905" w:history="1">
        <w:r w:rsidR="00081AE9">
          <w:rPr>
            <w:rStyle w:val="ab"/>
            <w:rFonts w:hint="eastAsia"/>
            <w:noProof/>
          </w:rPr>
          <w:t>七、需要解决的问题</w:t>
        </w:r>
        <w:r w:rsidR="00081AE9">
          <w:rPr>
            <w:noProof/>
          </w:rPr>
          <w:tab/>
        </w:r>
        <w:r w:rsidR="006852D9">
          <w:rPr>
            <w:noProof/>
          </w:rPr>
          <w:fldChar w:fldCharType="begin"/>
        </w:r>
        <w:r w:rsidR="00081AE9">
          <w:rPr>
            <w:noProof/>
          </w:rPr>
          <w:instrText xml:space="preserve"> PAGEREF _Toc435713905 \h </w:instrText>
        </w:r>
        <w:r w:rsidR="006852D9">
          <w:rPr>
            <w:noProof/>
          </w:rPr>
        </w:r>
        <w:r w:rsidR="006852D9">
          <w:rPr>
            <w:noProof/>
          </w:rPr>
          <w:fldChar w:fldCharType="separate"/>
        </w:r>
        <w:r w:rsidR="00D272F2">
          <w:rPr>
            <w:noProof/>
          </w:rPr>
          <w:t>62</w:t>
        </w:r>
        <w:r w:rsidR="006852D9">
          <w:rPr>
            <w:noProof/>
          </w:rPr>
          <w:fldChar w:fldCharType="end"/>
        </w:r>
      </w:hyperlink>
    </w:p>
    <w:p w:rsidR="00C47CD0" w:rsidRDefault="009449D3">
      <w:pPr>
        <w:pStyle w:val="10"/>
        <w:rPr>
          <w:rFonts w:ascii="Calibri" w:hAnsi="Calibri"/>
          <w:noProof/>
          <w:sz w:val="21"/>
          <w:szCs w:val="22"/>
        </w:rPr>
      </w:pPr>
      <w:hyperlink w:anchor="_Toc435713906" w:history="1">
        <w:r w:rsidR="00081AE9">
          <w:rPr>
            <w:rStyle w:val="ab"/>
            <w:rFonts w:hint="eastAsia"/>
            <w:noProof/>
          </w:rPr>
          <w:t>附件：《本科教学质量报告》基本数据表</w:t>
        </w:r>
        <w:r w:rsidR="00081AE9">
          <w:rPr>
            <w:noProof/>
          </w:rPr>
          <w:tab/>
        </w:r>
        <w:r w:rsidR="006852D9">
          <w:rPr>
            <w:noProof/>
          </w:rPr>
          <w:fldChar w:fldCharType="begin"/>
        </w:r>
        <w:r w:rsidR="00081AE9">
          <w:rPr>
            <w:noProof/>
          </w:rPr>
          <w:instrText xml:space="preserve"> PAGEREF _Toc435713906 \h </w:instrText>
        </w:r>
        <w:r w:rsidR="006852D9">
          <w:rPr>
            <w:noProof/>
          </w:rPr>
        </w:r>
        <w:r w:rsidR="006852D9">
          <w:rPr>
            <w:noProof/>
          </w:rPr>
          <w:fldChar w:fldCharType="separate"/>
        </w:r>
        <w:r w:rsidR="00D272F2">
          <w:rPr>
            <w:noProof/>
          </w:rPr>
          <w:t>64</w:t>
        </w:r>
        <w:r w:rsidR="006852D9">
          <w:rPr>
            <w:noProof/>
          </w:rPr>
          <w:fldChar w:fldCharType="end"/>
        </w:r>
      </w:hyperlink>
    </w:p>
    <w:p w:rsidR="00C47CD0" w:rsidRDefault="006852D9">
      <w:pPr>
        <w:widowControl/>
        <w:snapToGrid w:val="0"/>
        <w:spacing w:line="500" w:lineRule="atLeast"/>
        <w:ind w:firstLine="1200"/>
        <w:rPr>
          <w:color w:val="666666"/>
          <w:kern w:val="0"/>
          <w:szCs w:val="21"/>
        </w:rPr>
        <w:sectPr w:rsidR="00C47CD0">
          <w:pgSz w:w="11906" w:h="16838"/>
          <w:pgMar w:top="1440" w:right="1800" w:bottom="1440" w:left="1800" w:header="851" w:footer="992" w:gutter="0"/>
          <w:pgNumType w:start="1"/>
          <w:cols w:space="425"/>
          <w:docGrid w:type="lines" w:linePitch="312"/>
        </w:sectPr>
      </w:pPr>
      <w:r>
        <w:rPr>
          <w:rFonts w:ascii="仿宋_GB2312" w:eastAsia="仿宋_GB2312"/>
          <w:b/>
          <w:sz w:val="32"/>
          <w:szCs w:val="32"/>
        </w:rPr>
        <w:fldChar w:fldCharType="end"/>
      </w:r>
    </w:p>
    <w:p w:rsidR="00C47CD0" w:rsidRDefault="00081AE9">
      <w:pPr>
        <w:tabs>
          <w:tab w:val="left" w:leader="middleDot" w:pos="8190"/>
        </w:tabs>
        <w:ind w:firstLineChars="200" w:firstLine="640"/>
        <w:rPr>
          <w:rFonts w:ascii="仿宋_GB2312" w:eastAsia="仿宋_GB2312"/>
          <w:sz w:val="32"/>
          <w:szCs w:val="32"/>
        </w:rPr>
      </w:pPr>
      <w:r>
        <w:rPr>
          <w:rFonts w:ascii="仿宋_GB2312" w:eastAsia="仿宋_GB2312" w:hint="eastAsia"/>
          <w:sz w:val="32"/>
          <w:szCs w:val="32"/>
        </w:rPr>
        <w:lastRenderedPageBreak/>
        <w:t xml:space="preserve">2015年，新疆农业大学深入贯彻落实《国家中长期教育改革和发展规划纲要（2010-2020）》、《新疆维吾尔自治区中长期教育改革和发展规划纲要（2010-2020）》、《自治区高等教育专项规划（2010-2020）》等文件和学校第五次教学工作会议精神，紧紧围绕学校“十二五”规划建设目标，一如既往，密切联系办学实际，科学把握教育教学改革中的重大问题，强化教学建设，着力推进人才培养模式改革，加强教学质量监控，狠抓教风学风建设，不断巩固人才培养的中心地位和本科教育的基础地位。  </w:t>
      </w:r>
    </w:p>
    <w:p w:rsidR="00C47CD0" w:rsidRDefault="00081AE9">
      <w:pPr>
        <w:ind w:firstLineChars="200" w:firstLine="640"/>
        <w:rPr>
          <w:rFonts w:ascii="仿宋_GB2312" w:eastAsia="仿宋_GB2312"/>
          <w:color w:val="000000" w:themeColor="text1"/>
          <w:sz w:val="32"/>
          <w:szCs w:val="32"/>
        </w:rPr>
      </w:pPr>
      <w:r>
        <w:rPr>
          <w:rFonts w:ascii="仿宋_GB2312" w:eastAsia="仿宋_GB2312" w:hint="eastAsia"/>
          <w:sz w:val="32"/>
          <w:szCs w:val="32"/>
        </w:rPr>
        <w:t>2015年6月，学校召开了以“适应新常态，把握新机遇，实现新发展”为主题的第五次教学工作会议。完成自治区第二批重点产业紧缺人才专业建设工作。以“卓越工程师”和“卓越农林人才”培养计划项目为抓手，积极推进教育部人才培养模式改革项目，培养拔尖创新型与复合应用型人才。设立图志实验班，探索本校自我人才培养新模式。1门课程获得国家“精品视频公开课”称号。加强和改进少数民族教育教学工作。</w:t>
      </w:r>
      <w:r>
        <w:rPr>
          <w:rFonts w:ascii="仿宋_GB2312" w:eastAsia="仿宋_GB2312" w:hint="eastAsia"/>
          <w:color w:val="000000" w:themeColor="text1"/>
          <w:sz w:val="32"/>
          <w:szCs w:val="32"/>
        </w:rPr>
        <w:t>44</w:t>
      </w:r>
      <w:r>
        <w:rPr>
          <w:rFonts w:ascii="仿宋_GB2312" w:eastAsia="仿宋_GB2312" w:hint="eastAsia"/>
          <w:color w:val="000000"/>
          <w:sz w:val="32"/>
          <w:szCs w:val="32"/>
        </w:rPr>
        <w:t>项国家级大学生创新创业训练计划项目</w:t>
      </w:r>
      <w:r>
        <w:rPr>
          <w:rFonts w:ascii="仿宋_GB2312" w:eastAsia="仿宋_GB2312" w:hAnsi="宋体" w:hint="eastAsia"/>
          <w:color w:val="000000"/>
          <w:sz w:val="32"/>
          <w:szCs w:val="32"/>
        </w:rPr>
        <w:t>获教育部立项批准，</w:t>
      </w:r>
      <w:r>
        <w:rPr>
          <w:rFonts w:ascii="仿宋_GB2312" w:eastAsia="仿宋_GB2312" w:hAnsi="宋体" w:hint="eastAsia"/>
          <w:color w:val="000000" w:themeColor="text1"/>
          <w:sz w:val="32"/>
          <w:szCs w:val="32"/>
        </w:rPr>
        <w:t>89</w:t>
      </w:r>
      <w:r>
        <w:rPr>
          <w:rFonts w:ascii="仿宋_GB2312" w:eastAsia="仿宋_GB2312" w:hAnsi="宋体" w:hint="eastAsia"/>
          <w:color w:val="000000"/>
          <w:sz w:val="32"/>
          <w:szCs w:val="32"/>
        </w:rPr>
        <w:t>项自治区级大学生创新项目获得教育厅立项。</w:t>
      </w:r>
      <w:r>
        <w:rPr>
          <w:rFonts w:ascii="仿宋_GB2312" w:eastAsia="仿宋_GB2312" w:hAnsi="宋体" w:hint="eastAsia"/>
          <w:sz w:val="32"/>
          <w:szCs w:val="32"/>
        </w:rPr>
        <w:t>深入推进实践教学建设与改革，</w:t>
      </w:r>
      <w:r>
        <w:rPr>
          <w:rFonts w:ascii="仿宋_GB2312" w:eastAsia="仿宋_GB2312" w:hAnsi="Calibri" w:hint="eastAsia"/>
          <w:sz w:val="32"/>
          <w:szCs w:val="32"/>
        </w:rPr>
        <w:t>立项建设校级实验室建设与管理项目</w:t>
      </w:r>
      <w:r>
        <w:rPr>
          <w:rFonts w:ascii="仿宋_GB2312" w:eastAsia="仿宋_GB2312" w:hAnsi="Calibri"/>
          <w:sz w:val="32"/>
          <w:szCs w:val="32"/>
        </w:rPr>
        <w:t>59</w:t>
      </w:r>
      <w:r>
        <w:rPr>
          <w:rFonts w:ascii="仿宋_GB2312" w:eastAsia="仿宋_GB2312" w:hAnsi="Calibri" w:hint="eastAsia"/>
          <w:sz w:val="32"/>
          <w:szCs w:val="32"/>
        </w:rPr>
        <w:t>项。</w:t>
      </w:r>
      <w:r>
        <w:rPr>
          <w:rFonts w:ascii="仿宋_GB2312" w:eastAsia="仿宋_GB2312"/>
          <w:color w:val="000000" w:themeColor="text1"/>
          <w:sz w:val="32"/>
          <w:szCs w:val="32"/>
        </w:rPr>
        <w:t xml:space="preserve"> </w:t>
      </w:r>
    </w:p>
    <w:p w:rsidR="00C47CD0" w:rsidRDefault="00081AE9">
      <w:pPr>
        <w:tabs>
          <w:tab w:val="left" w:leader="middleDot" w:pos="8190"/>
        </w:tabs>
        <w:ind w:firstLineChars="200" w:firstLine="640"/>
        <w:rPr>
          <w:rFonts w:ascii="仿宋_GB2312" w:eastAsia="仿宋_GB2312"/>
          <w:sz w:val="32"/>
          <w:szCs w:val="32"/>
        </w:rPr>
      </w:pPr>
      <w:r>
        <w:rPr>
          <w:rFonts w:ascii="仿宋_GB2312" w:eastAsia="仿宋_GB2312" w:hint="eastAsia"/>
          <w:sz w:val="32"/>
          <w:szCs w:val="32"/>
        </w:rPr>
        <w:t>学校稳疆兴疆育人才的办学宗旨更加明确和坚定，本科人才培养质量和水平有了新的提高。</w:t>
      </w:r>
      <w:r>
        <w:rPr>
          <w:rFonts w:ascii="仿宋_GB2312" w:eastAsia="仿宋_GB2312"/>
          <w:sz w:val="32"/>
          <w:szCs w:val="32"/>
        </w:rPr>
        <w:br w:type="page"/>
      </w:r>
    </w:p>
    <w:p w:rsidR="00C47CD0" w:rsidRDefault="00081AE9">
      <w:pPr>
        <w:pStyle w:val="1"/>
        <w:jc w:val="center"/>
      </w:pPr>
      <w:bookmarkStart w:id="17" w:name="_Toc435713867"/>
      <w:bookmarkStart w:id="18" w:name="_Toc372300252"/>
      <w:bookmarkStart w:id="19" w:name="_Toc341722077"/>
      <w:r>
        <w:rPr>
          <w:rFonts w:hint="eastAsia"/>
        </w:rPr>
        <w:lastRenderedPageBreak/>
        <w:t>一、学校概况</w:t>
      </w:r>
      <w:bookmarkEnd w:id="17"/>
      <w:bookmarkEnd w:id="18"/>
      <w:bookmarkEnd w:id="19"/>
    </w:p>
    <w:p w:rsidR="00C47CD0" w:rsidRDefault="00C47CD0">
      <w:pPr>
        <w:tabs>
          <w:tab w:val="left" w:leader="middleDot" w:pos="8190"/>
        </w:tabs>
        <w:jc w:val="center"/>
        <w:rPr>
          <w:rFonts w:ascii="仿宋_GB2312" w:eastAsia="仿宋_GB2312"/>
          <w:b/>
          <w:sz w:val="44"/>
          <w:szCs w:val="44"/>
        </w:rPr>
      </w:pPr>
    </w:p>
    <w:p w:rsidR="00C47CD0" w:rsidRDefault="00081AE9">
      <w:pPr>
        <w:tabs>
          <w:tab w:val="left" w:leader="middleDot" w:pos="8190"/>
        </w:tabs>
        <w:ind w:firstLineChars="225" w:firstLine="720"/>
        <w:rPr>
          <w:rFonts w:ascii="仿宋_GB2312" w:eastAsia="仿宋_GB2312"/>
          <w:sz w:val="32"/>
          <w:szCs w:val="32"/>
        </w:rPr>
      </w:pPr>
      <w:r>
        <w:rPr>
          <w:rFonts w:ascii="仿宋_GB2312" w:eastAsia="仿宋_GB2312" w:hint="eastAsia"/>
          <w:sz w:val="32"/>
          <w:szCs w:val="32"/>
        </w:rPr>
        <w:t>新疆农业大学是自治区重点建设的一所多科性农业高等院校，前身为新疆八一农学院，是经毛主席和中央军委同意，由王震将军于1952年创建的本科高校。</w:t>
      </w:r>
    </w:p>
    <w:p w:rsidR="00C47CD0" w:rsidRDefault="00081AE9">
      <w:pPr>
        <w:ind w:firstLineChars="200" w:firstLine="640"/>
        <w:rPr>
          <w:rFonts w:ascii="仿宋_GB2312" w:eastAsia="仿宋_GB2312"/>
          <w:sz w:val="32"/>
          <w:szCs w:val="32"/>
        </w:rPr>
      </w:pPr>
      <w:r>
        <w:rPr>
          <w:rFonts w:ascii="仿宋_GB2312" w:eastAsia="仿宋_GB2312"/>
          <w:sz w:val="32"/>
          <w:szCs w:val="32"/>
        </w:rPr>
        <w:br w:type="page"/>
      </w:r>
      <w:r>
        <w:rPr>
          <w:rFonts w:ascii="仿宋_GB2312" w:eastAsia="仿宋_GB2312" w:hint="eastAsia"/>
          <w:sz w:val="32"/>
          <w:szCs w:val="32"/>
        </w:rPr>
        <w:lastRenderedPageBreak/>
        <w:t>新疆农业大学是新疆维吾尔自治区重点建设的一所多科性农业高等院校。</w:t>
      </w:r>
      <w:r>
        <w:rPr>
          <w:rFonts w:ascii="仿宋_GB2312" w:eastAsia="仿宋_GB2312"/>
          <w:sz w:val="32"/>
          <w:szCs w:val="32"/>
        </w:rPr>
        <w:t>1952</w:t>
      </w:r>
      <w:r>
        <w:rPr>
          <w:rFonts w:ascii="仿宋_GB2312" w:eastAsia="仿宋_GB2312" w:hint="eastAsia"/>
          <w:sz w:val="32"/>
          <w:szCs w:val="32"/>
        </w:rPr>
        <w:t>年</w:t>
      </w:r>
      <w:r>
        <w:rPr>
          <w:rFonts w:ascii="仿宋_GB2312" w:eastAsia="仿宋_GB2312"/>
          <w:sz w:val="32"/>
          <w:szCs w:val="32"/>
        </w:rPr>
        <w:t>8</w:t>
      </w:r>
      <w:r>
        <w:rPr>
          <w:rFonts w:ascii="仿宋_GB2312" w:eastAsia="仿宋_GB2312" w:hint="eastAsia"/>
          <w:sz w:val="32"/>
          <w:szCs w:val="32"/>
        </w:rPr>
        <w:t>月</w:t>
      </w:r>
      <w:r>
        <w:rPr>
          <w:rFonts w:ascii="仿宋_GB2312" w:eastAsia="仿宋_GB2312"/>
          <w:sz w:val="32"/>
          <w:szCs w:val="32"/>
        </w:rPr>
        <w:t>1</w:t>
      </w:r>
      <w:r>
        <w:rPr>
          <w:rFonts w:ascii="仿宋_GB2312" w:eastAsia="仿宋_GB2312" w:hint="eastAsia"/>
          <w:sz w:val="32"/>
          <w:szCs w:val="32"/>
        </w:rPr>
        <w:t>日，经党中央、毛泽东主席批准，在周恩来总理的亲切关怀下，王震将军在中国人民解放军第二步兵学校的基础上，创办军队自己的高等农业院校</w:t>
      </w:r>
      <w:r>
        <w:rPr>
          <w:rFonts w:ascii="仿宋_GB2312" w:eastAsia="仿宋_GB2312"/>
          <w:sz w:val="32"/>
          <w:szCs w:val="32"/>
        </w:rPr>
        <w:t>——</w:t>
      </w:r>
      <w:r>
        <w:rPr>
          <w:rFonts w:ascii="仿宋_GB2312" w:eastAsia="仿宋_GB2312" w:hint="eastAsia"/>
          <w:sz w:val="32"/>
          <w:szCs w:val="32"/>
        </w:rPr>
        <w:t>八一农学院。</w:t>
      </w:r>
      <w:r>
        <w:rPr>
          <w:rFonts w:ascii="仿宋_GB2312" w:eastAsia="仿宋_GB2312"/>
          <w:sz w:val="32"/>
          <w:szCs w:val="32"/>
        </w:rPr>
        <w:t>1958</w:t>
      </w:r>
      <w:r>
        <w:rPr>
          <w:rFonts w:ascii="仿宋_GB2312" w:eastAsia="仿宋_GB2312" w:hint="eastAsia"/>
          <w:sz w:val="32"/>
          <w:szCs w:val="32"/>
        </w:rPr>
        <w:t>年年底划归新疆维吾尔自治区人民委员会领导，更名为新疆八一农学院。</w:t>
      </w:r>
      <w:r>
        <w:rPr>
          <w:rFonts w:ascii="仿宋_GB2312" w:eastAsia="仿宋_GB2312"/>
          <w:sz w:val="32"/>
          <w:szCs w:val="32"/>
        </w:rPr>
        <w:t>1995</w:t>
      </w:r>
      <w:r>
        <w:rPr>
          <w:rFonts w:ascii="仿宋_GB2312" w:eastAsia="仿宋_GB2312" w:hint="eastAsia"/>
          <w:sz w:val="32"/>
          <w:szCs w:val="32"/>
        </w:rPr>
        <w:t>年</w:t>
      </w:r>
      <w:r>
        <w:rPr>
          <w:rFonts w:ascii="仿宋_GB2312" w:eastAsia="仿宋_GB2312"/>
          <w:sz w:val="32"/>
          <w:szCs w:val="32"/>
        </w:rPr>
        <w:t>4</w:t>
      </w:r>
      <w:r>
        <w:rPr>
          <w:rFonts w:ascii="仿宋_GB2312" w:eastAsia="仿宋_GB2312" w:hint="eastAsia"/>
          <w:sz w:val="32"/>
          <w:szCs w:val="32"/>
        </w:rPr>
        <w:t>月</w:t>
      </w:r>
      <w:r>
        <w:rPr>
          <w:rFonts w:ascii="仿宋_GB2312" w:eastAsia="仿宋_GB2312"/>
          <w:sz w:val="32"/>
          <w:szCs w:val="32"/>
        </w:rPr>
        <w:t>21</w:t>
      </w:r>
      <w:r>
        <w:rPr>
          <w:rFonts w:ascii="仿宋_GB2312" w:eastAsia="仿宋_GB2312" w:hint="eastAsia"/>
          <w:sz w:val="32"/>
          <w:szCs w:val="32"/>
        </w:rPr>
        <w:t>日更名为新疆农业大学。</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学校坚持发扬南泥湾精神，坚持“理论联系实际，教学结合生产”的办学方针，屯垦戍边办大学，稳疆兴疆育人才，注重少数民族教育和人才培养，为国家和自治区输送合格人才，为新疆的经济社会发展做出了重要贡献。</w:t>
      </w:r>
    </w:p>
    <w:p w:rsidR="00C47CD0" w:rsidRDefault="00081AE9">
      <w:pPr>
        <w:ind w:firstLineChars="200" w:firstLine="640"/>
        <w:rPr>
          <w:rFonts w:ascii="仿宋_GB2312" w:eastAsia="仿宋_GB2312"/>
          <w:sz w:val="32"/>
          <w:szCs w:val="32"/>
        </w:rPr>
      </w:pPr>
      <w:r>
        <w:rPr>
          <w:rFonts w:ascii="仿宋_GB2312" w:eastAsia="仿宋_GB2312"/>
          <w:sz w:val="32"/>
          <w:szCs w:val="32"/>
        </w:rPr>
        <w:t>学校</w:t>
      </w:r>
      <w:r>
        <w:rPr>
          <w:rFonts w:ascii="仿宋_GB2312" w:eastAsia="仿宋_GB2312" w:hint="eastAsia"/>
          <w:sz w:val="32"/>
          <w:szCs w:val="32"/>
        </w:rPr>
        <w:t>是</w:t>
      </w:r>
      <w:r>
        <w:rPr>
          <w:rFonts w:ascii="仿宋_GB2312" w:eastAsia="仿宋_GB2312"/>
          <w:sz w:val="32"/>
          <w:szCs w:val="32"/>
        </w:rPr>
        <w:t>一所涵盖农、理、工、经、管、文、法等七个学科门类，以农业教育为优势，以少数民族教育为特色，以自然科学为主要学科领域，以应用学科为主要发展方向，以本科教育为主要办学层次的多科性农业大学。学校现有6个博士后科研流动工作站，6个博士学位一级学科授权点</w:t>
      </w:r>
      <w:r>
        <w:rPr>
          <w:rFonts w:ascii="仿宋_GB2312" w:eastAsia="仿宋_GB2312" w:hint="eastAsia"/>
          <w:sz w:val="32"/>
          <w:szCs w:val="32"/>
        </w:rPr>
        <w:t>，</w:t>
      </w:r>
      <w:r>
        <w:rPr>
          <w:rFonts w:ascii="仿宋_GB2312" w:eastAsia="仿宋_GB2312"/>
          <w:sz w:val="32"/>
          <w:szCs w:val="32"/>
        </w:rPr>
        <w:t>18个硕士学位一级学科授权点</w:t>
      </w:r>
      <w:r>
        <w:rPr>
          <w:rFonts w:ascii="仿宋_GB2312" w:eastAsia="仿宋_GB2312" w:hint="eastAsia"/>
          <w:sz w:val="32"/>
          <w:szCs w:val="32"/>
        </w:rPr>
        <w:t>，</w:t>
      </w:r>
      <w:r>
        <w:rPr>
          <w:rFonts w:ascii="仿宋_GB2312" w:eastAsia="仿宋_GB2312"/>
          <w:sz w:val="32"/>
          <w:szCs w:val="32"/>
        </w:rPr>
        <w:t>7个专业学位硕士授权点</w:t>
      </w:r>
      <w:r>
        <w:rPr>
          <w:rFonts w:ascii="仿宋_GB2312" w:eastAsia="仿宋_GB2312" w:hint="eastAsia"/>
          <w:sz w:val="32"/>
          <w:szCs w:val="32"/>
        </w:rPr>
        <w:t>，6</w:t>
      </w:r>
      <w:r>
        <w:rPr>
          <w:rFonts w:ascii="仿宋_GB2312" w:eastAsia="仿宋_GB2312"/>
          <w:sz w:val="32"/>
          <w:szCs w:val="32"/>
        </w:rPr>
        <w:t>2</w:t>
      </w:r>
      <w:r>
        <w:rPr>
          <w:rFonts w:ascii="仿宋_GB2312" w:eastAsia="仿宋_GB2312" w:hint="eastAsia"/>
          <w:sz w:val="32"/>
          <w:szCs w:val="32"/>
        </w:rPr>
        <w:t>个本科专业。有18个学院，2个教学部，各类在册学生2</w:t>
      </w:r>
      <w:r>
        <w:rPr>
          <w:rFonts w:ascii="仿宋_GB2312" w:eastAsia="仿宋_GB2312"/>
          <w:sz w:val="32"/>
          <w:szCs w:val="32"/>
        </w:rPr>
        <w:t>6</w:t>
      </w:r>
      <w:r>
        <w:rPr>
          <w:rFonts w:ascii="仿宋_GB2312" w:eastAsia="仿宋_GB2312" w:hint="eastAsia"/>
          <w:sz w:val="32"/>
          <w:szCs w:val="32"/>
        </w:rPr>
        <w:t>000余人。有教职工</w:t>
      </w:r>
      <w:r>
        <w:rPr>
          <w:rFonts w:ascii="仿宋_GB2312" w:eastAsia="仿宋_GB2312"/>
          <w:sz w:val="32"/>
          <w:szCs w:val="32"/>
        </w:rPr>
        <w:t>1562</w:t>
      </w:r>
      <w:r>
        <w:rPr>
          <w:rFonts w:ascii="仿宋_GB2312" w:eastAsia="仿宋_GB2312" w:hint="eastAsia"/>
          <w:sz w:val="32"/>
          <w:szCs w:val="32"/>
        </w:rPr>
        <w:t>人，其中专任教师</w:t>
      </w:r>
      <w:r>
        <w:rPr>
          <w:rFonts w:ascii="仿宋_GB2312" w:eastAsia="仿宋_GB2312"/>
          <w:sz w:val="32"/>
          <w:szCs w:val="32"/>
        </w:rPr>
        <w:t>995</w:t>
      </w:r>
      <w:r>
        <w:rPr>
          <w:rFonts w:ascii="仿宋_GB2312" w:eastAsia="仿宋_GB2312" w:hint="eastAsia"/>
          <w:sz w:val="32"/>
          <w:szCs w:val="32"/>
        </w:rPr>
        <w:t>人，具有副高以上职称教师</w:t>
      </w:r>
      <w:r>
        <w:rPr>
          <w:rFonts w:ascii="仿宋_GB2312" w:eastAsia="仿宋_GB2312"/>
          <w:sz w:val="32"/>
          <w:szCs w:val="32"/>
        </w:rPr>
        <w:t>411</w:t>
      </w:r>
      <w:r>
        <w:rPr>
          <w:rFonts w:ascii="仿宋_GB2312" w:eastAsia="仿宋_GB2312" w:hint="eastAsia"/>
          <w:sz w:val="32"/>
          <w:szCs w:val="32"/>
        </w:rPr>
        <w:t>人，具有硕士以上学位教师</w:t>
      </w:r>
      <w:r>
        <w:rPr>
          <w:rFonts w:ascii="仿宋_GB2312" w:eastAsia="仿宋_GB2312"/>
          <w:sz w:val="32"/>
          <w:szCs w:val="32"/>
        </w:rPr>
        <w:t>496</w:t>
      </w:r>
      <w:r>
        <w:rPr>
          <w:rFonts w:ascii="仿宋_GB2312" w:eastAsia="仿宋_GB2312" w:hint="eastAsia"/>
          <w:sz w:val="32"/>
          <w:szCs w:val="32"/>
        </w:rPr>
        <w:t>人。</w:t>
      </w:r>
    </w:p>
    <w:p w:rsidR="00C47CD0" w:rsidRDefault="00081AE9">
      <w:pPr>
        <w:ind w:firstLineChars="200" w:firstLine="640"/>
        <w:rPr>
          <w:rFonts w:ascii="仿宋_GB2312" w:eastAsia="仿宋_GB2312"/>
          <w:sz w:val="32"/>
          <w:szCs w:val="32"/>
        </w:rPr>
      </w:pPr>
      <w:r>
        <w:rPr>
          <w:rFonts w:ascii="仿宋_GB2312" w:eastAsia="仿宋_GB2312"/>
          <w:sz w:val="32"/>
          <w:szCs w:val="32"/>
        </w:rPr>
        <w:t>学校建有国家重点学科1个，国家重点学科培育学科1个，国家部委重点学科2个，教育部、农业部工程研究中心</w:t>
      </w:r>
      <w:r>
        <w:rPr>
          <w:rFonts w:ascii="仿宋_GB2312" w:eastAsia="仿宋_GB2312"/>
          <w:sz w:val="32"/>
          <w:szCs w:val="32"/>
        </w:rPr>
        <w:lastRenderedPageBreak/>
        <w:t>各1个，教育部省部共建重点实验室1个，农业部观测试验站1个，自治区级工程技术研究中心3个，自治区级重点学科10个，自治区级重点学科培育学科1个，国家级实验教学示范中心1个，自治区级实验教学示范中心7个，自治区协同创新中心1个，自治区重点实验室3个</w:t>
      </w:r>
      <w:r>
        <w:rPr>
          <w:rFonts w:ascii="仿宋_GB2312" w:eastAsia="仿宋_GB2312" w:hint="eastAsia"/>
          <w:sz w:val="32"/>
          <w:szCs w:val="32"/>
        </w:rPr>
        <w:t>，</w:t>
      </w:r>
      <w:r>
        <w:rPr>
          <w:rFonts w:ascii="仿宋_GB2312" w:eastAsia="仿宋_GB2312"/>
          <w:sz w:val="32"/>
          <w:szCs w:val="32"/>
        </w:rPr>
        <w:t>国家级大学生校外教学实践基地2个</w:t>
      </w:r>
      <w:r>
        <w:rPr>
          <w:rFonts w:ascii="仿宋_GB2312" w:eastAsia="仿宋_GB2312" w:hint="eastAsia"/>
          <w:sz w:val="32"/>
          <w:szCs w:val="32"/>
        </w:rPr>
        <w:t>。</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学校秉承“明德笃志、励学竞业”的校训，遵循以人为本的办学理念，以追求真理、培育人才、研究学术、传承文明、服务社会为己任，坚持“突出特色、人才优先、质量第一、科技强校”的办学思路，以农业学科为优势特色，大力发展新兴和交叉学科，农、理、工、经、管、文、法多学科协调发展，以本科教育为主要办学层次，大力发展研究生教育，积极推进留学生教育和继续教育，建设特色鲜明的高水平教学研究型现代大学。</w:t>
      </w:r>
    </w:p>
    <w:p w:rsidR="00C47CD0" w:rsidRDefault="00C47CD0">
      <w:pPr>
        <w:ind w:firstLineChars="200" w:firstLine="640"/>
        <w:rPr>
          <w:rFonts w:ascii="仿宋_GB2312" w:eastAsia="仿宋_GB2312"/>
          <w:sz w:val="32"/>
          <w:szCs w:val="32"/>
        </w:rPr>
      </w:pPr>
    </w:p>
    <w:p w:rsidR="00C47CD0" w:rsidRDefault="00081AE9">
      <w:pPr>
        <w:pStyle w:val="1"/>
        <w:jc w:val="center"/>
        <w:rPr>
          <w:rFonts w:ascii="仿宋_GB2312" w:eastAsia="仿宋_GB2312"/>
          <w:b w:val="0"/>
        </w:rPr>
      </w:pPr>
      <w:r>
        <w:rPr>
          <w:rFonts w:ascii="仿宋_GB2312" w:eastAsia="仿宋_GB2312"/>
          <w:sz w:val="32"/>
          <w:szCs w:val="32"/>
        </w:rPr>
        <w:br w:type="page"/>
      </w:r>
      <w:bookmarkStart w:id="20" w:name="_Toc435713868"/>
      <w:r>
        <w:rPr>
          <w:rFonts w:hint="eastAsia"/>
        </w:rPr>
        <w:lastRenderedPageBreak/>
        <w:t>二、本科教学基本情况</w:t>
      </w:r>
      <w:bookmarkEnd w:id="20"/>
    </w:p>
    <w:p w:rsidR="00C47CD0" w:rsidRDefault="00C47CD0">
      <w:pPr>
        <w:outlineLvl w:val="0"/>
        <w:rPr>
          <w:rFonts w:ascii="仿宋_GB2312" w:eastAsia="仿宋_GB2312"/>
          <w:sz w:val="32"/>
          <w:szCs w:val="32"/>
        </w:rPr>
      </w:pP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学校着力培养高素质应用型、复合型人才。学科涵盖农、理、工、经、管、文、法等7大门类，共62个专业。学校有全日制普通本科生</w:t>
      </w:r>
      <w:r>
        <w:rPr>
          <w:rFonts w:ascii="仿宋_GB2312" w:eastAsia="仿宋_GB2312"/>
          <w:sz w:val="32"/>
          <w:szCs w:val="32"/>
        </w:rPr>
        <w:t>15225</w:t>
      </w:r>
      <w:r>
        <w:rPr>
          <w:rFonts w:ascii="仿宋_GB2312" w:eastAsia="仿宋_GB2312" w:hint="eastAsia"/>
          <w:sz w:val="32"/>
          <w:szCs w:val="32"/>
        </w:rPr>
        <w:t>人。</w:t>
      </w:r>
    </w:p>
    <w:p w:rsidR="00C47CD0" w:rsidRDefault="00081AE9">
      <w:pPr>
        <w:autoSpaceDE w:val="0"/>
        <w:autoSpaceDN w:val="0"/>
        <w:ind w:firstLineChars="200" w:firstLine="643"/>
        <w:jc w:val="left"/>
        <w:outlineLvl w:val="1"/>
        <w:rPr>
          <w:rFonts w:ascii="宋体" w:hAnsi="宋体"/>
          <w:b/>
          <w:snapToGrid w:val="0"/>
          <w:color w:val="14505A"/>
          <w:kern w:val="0"/>
          <w:sz w:val="24"/>
        </w:rPr>
      </w:pPr>
      <w:r>
        <w:rPr>
          <w:rFonts w:ascii="仿宋_GB2312" w:eastAsia="仿宋_GB2312"/>
          <w:b/>
          <w:sz w:val="32"/>
          <w:szCs w:val="32"/>
        </w:rPr>
        <w:br w:type="page"/>
      </w:r>
      <w:bookmarkStart w:id="21" w:name="_Toc402443150"/>
      <w:bookmarkStart w:id="22" w:name="_Toc435713776"/>
      <w:bookmarkStart w:id="23" w:name="_Toc402443395"/>
      <w:bookmarkStart w:id="24" w:name="_Toc402374097"/>
      <w:bookmarkStart w:id="25" w:name="_Toc435713869"/>
      <w:r>
        <w:rPr>
          <w:rFonts w:ascii="仿宋_GB2312" w:eastAsia="仿宋_GB2312" w:hint="eastAsia"/>
          <w:b/>
          <w:sz w:val="32"/>
          <w:szCs w:val="32"/>
        </w:rPr>
        <w:lastRenderedPageBreak/>
        <w:t>（一）本科人才培养目标及服务面向</w:t>
      </w:r>
      <w:bookmarkEnd w:id="21"/>
      <w:bookmarkEnd w:id="22"/>
      <w:bookmarkEnd w:id="23"/>
      <w:bookmarkEnd w:id="24"/>
      <w:bookmarkEnd w:id="25"/>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本科人才培养目标是：培养符合地方经济社会发展需要的专业基础扎实、品质优良、眼界开阔，具有较强实践能力和创新精神的高素质应用型、复合型人才。</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本科人才服务面向是：立足新疆，面向社会，服务“三农”。</w:t>
      </w:r>
    </w:p>
    <w:p w:rsidR="00C47CD0" w:rsidRDefault="00081AE9">
      <w:pPr>
        <w:autoSpaceDE w:val="0"/>
        <w:autoSpaceDN w:val="0"/>
        <w:ind w:firstLineChars="200" w:firstLine="643"/>
        <w:jc w:val="left"/>
        <w:outlineLvl w:val="1"/>
        <w:rPr>
          <w:rFonts w:ascii="仿宋_GB2312" w:eastAsia="仿宋_GB2312"/>
          <w:b/>
          <w:sz w:val="32"/>
          <w:szCs w:val="32"/>
        </w:rPr>
      </w:pPr>
      <w:bookmarkStart w:id="26" w:name="_Toc402374098"/>
      <w:bookmarkStart w:id="27" w:name="_Toc402443151"/>
      <w:bookmarkStart w:id="28" w:name="_Toc402443396"/>
      <w:bookmarkStart w:id="29" w:name="_Toc435713777"/>
      <w:bookmarkStart w:id="30" w:name="_Toc435713870"/>
      <w:r>
        <w:rPr>
          <w:rFonts w:ascii="仿宋_GB2312" w:eastAsia="仿宋_GB2312" w:hint="eastAsia"/>
          <w:b/>
          <w:sz w:val="32"/>
          <w:szCs w:val="32"/>
        </w:rPr>
        <w:t>（二）本科专业设置情况</w:t>
      </w:r>
      <w:bookmarkEnd w:id="26"/>
      <w:bookmarkEnd w:id="27"/>
      <w:bookmarkEnd w:id="28"/>
      <w:bookmarkEnd w:id="29"/>
      <w:bookmarkEnd w:id="30"/>
    </w:p>
    <w:p w:rsidR="00C47CD0" w:rsidRDefault="00081AE9">
      <w:pPr>
        <w:spacing w:line="500" w:lineRule="exact"/>
        <w:jc w:val="center"/>
        <w:rPr>
          <w:rFonts w:ascii="仿宋_GB2312" w:eastAsia="仿宋_GB2312"/>
          <w:sz w:val="32"/>
          <w:szCs w:val="32"/>
        </w:rPr>
      </w:pPr>
      <w:bookmarkStart w:id="31" w:name="_Toc402443152"/>
      <w:bookmarkStart w:id="32" w:name="_Toc402443397"/>
      <w:bookmarkStart w:id="33" w:name="_Toc402374099"/>
      <w:r>
        <w:rPr>
          <w:rFonts w:ascii="宋体" w:hAnsi="宋体" w:hint="eastAsia"/>
          <w:sz w:val="24"/>
        </w:rPr>
        <w:t xml:space="preserve">表1  </w:t>
      </w:r>
      <w:r>
        <w:rPr>
          <w:rFonts w:ascii="仿宋_GB2312" w:eastAsia="仿宋_GB2312" w:hint="eastAsia"/>
          <w:sz w:val="32"/>
          <w:szCs w:val="32"/>
        </w:rPr>
        <w:t xml:space="preserve"> </w:t>
      </w:r>
      <w:r>
        <w:rPr>
          <w:rFonts w:ascii="宋体" w:hAnsi="宋体" w:hint="eastAsia"/>
          <w:b/>
          <w:sz w:val="28"/>
          <w:szCs w:val="28"/>
        </w:rPr>
        <w:t>本科专业及学科门类分布</w:t>
      </w:r>
    </w:p>
    <w:tbl>
      <w:tblPr>
        <w:tblW w:w="8640"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00"/>
        <w:gridCol w:w="1080"/>
        <w:gridCol w:w="1080"/>
        <w:gridCol w:w="5580"/>
      </w:tblGrid>
      <w:tr w:rsidR="00C47CD0">
        <w:trPr>
          <w:trHeight w:val="720"/>
        </w:trPr>
        <w:tc>
          <w:tcPr>
            <w:tcW w:w="900" w:type="dxa"/>
            <w:tcBorders>
              <w:bottom w:val="single" w:sz="4" w:space="0" w:color="auto"/>
            </w:tcBorders>
            <w:vAlign w:val="center"/>
          </w:tcPr>
          <w:p w:rsidR="00C47CD0" w:rsidRDefault="00081AE9">
            <w:pPr>
              <w:jc w:val="center"/>
              <w:rPr>
                <w:rFonts w:ascii="宋体" w:hAnsi="宋体"/>
                <w:szCs w:val="21"/>
              </w:rPr>
            </w:pPr>
            <w:r>
              <w:rPr>
                <w:rFonts w:ascii="宋体" w:hAnsi="宋体" w:hint="eastAsia"/>
                <w:szCs w:val="21"/>
              </w:rPr>
              <w:t>学科</w:t>
            </w:r>
          </w:p>
          <w:p w:rsidR="00C47CD0" w:rsidRDefault="00081AE9">
            <w:pPr>
              <w:jc w:val="center"/>
              <w:rPr>
                <w:rFonts w:ascii="宋体" w:hAnsi="宋体"/>
                <w:szCs w:val="21"/>
              </w:rPr>
            </w:pPr>
            <w:r>
              <w:rPr>
                <w:rFonts w:ascii="宋体" w:hAnsi="宋体" w:hint="eastAsia"/>
                <w:szCs w:val="21"/>
              </w:rPr>
              <w:t>门类</w:t>
            </w:r>
          </w:p>
        </w:tc>
        <w:tc>
          <w:tcPr>
            <w:tcW w:w="1080" w:type="dxa"/>
            <w:tcBorders>
              <w:bottom w:val="single" w:sz="4" w:space="0" w:color="auto"/>
            </w:tcBorders>
            <w:vAlign w:val="center"/>
          </w:tcPr>
          <w:p w:rsidR="00C47CD0" w:rsidRDefault="00081AE9">
            <w:pPr>
              <w:jc w:val="center"/>
              <w:rPr>
                <w:rFonts w:ascii="宋体" w:hAnsi="宋体"/>
                <w:szCs w:val="21"/>
              </w:rPr>
            </w:pPr>
            <w:r>
              <w:rPr>
                <w:rFonts w:ascii="宋体" w:hAnsi="宋体" w:hint="eastAsia"/>
                <w:szCs w:val="21"/>
              </w:rPr>
              <w:t>专业数</w:t>
            </w:r>
          </w:p>
        </w:tc>
        <w:tc>
          <w:tcPr>
            <w:tcW w:w="1080" w:type="dxa"/>
            <w:tcBorders>
              <w:bottom w:val="single" w:sz="4" w:space="0" w:color="auto"/>
            </w:tcBorders>
            <w:vAlign w:val="center"/>
          </w:tcPr>
          <w:p w:rsidR="00C47CD0" w:rsidRDefault="00081AE9">
            <w:pPr>
              <w:jc w:val="center"/>
              <w:rPr>
                <w:rFonts w:ascii="宋体" w:hAnsi="宋体"/>
                <w:szCs w:val="21"/>
              </w:rPr>
            </w:pPr>
            <w:r>
              <w:rPr>
                <w:rFonts w:ascii="宋体" w:hAnsi="宋体" w:hint="eastAsia"/>
                <w:szCs w:val="21"/>
              </w:rPr>
              <w:t>所占比例（%）</w:t>
            </w:r>
          </w:p>
        </w:tc>
        <w:tc>
          <w:tcPr>
            <w:tcW w:w="5580" w:type="dxa"/>
            <w:tcBorders>
              <w:bottom w:val="single" w:sz="4" w:space="0" w:color="auto"/>
            </w:tcBorders>
            <w:vAlign w:val="center"/>
          </w:tcPr>
          <w:p w:rsidR="00C47CD0" w:rsidRDefault="00081AE9">
            <w:pPr>
              <w:jc w:val="center"/>
              <w:rPr>
                <w:rFonts w:ascii="宋体" w:hAnsi="宋体"/>
                <w:szCs w:val="21"/>
              </w:rPr>
            </w:pPr>
            <w:r>
              <w:rPr>
                <w:rFonts w:ascii="宋体" w:hAnsi="宋体" w:hint="eastAsia"/>
                <w:szCs w:val="21"/>
              </w:rPr>
              <w:t>专业名称</w:t>
            </w:r>
          </w:p>
        </w:tc>
      </w:tr>
      <w:tr w:rsidR="00C47CD0">
        <w:trPr>
          <w:trHeight w:val="1397"/>
        </w:trPr>
        <w:tc>
          <w:tcPr>
            <w:tcW w:w="900" w:type="dxa"/>
            <w:tcBorders>
              <w:bottom w:val="dashed" w:sz="4" w:space="0" w:color="auto"/>
            </w:tcBorders>
            <w:vAlign w:val="center"/>
          </w:tcPr>
          <w:p w:rsidR="00C47CD0" w:rsidRDefault="00081AE9">
            <w:pPr>
              <w:jc w:val="center"/>
              <w:rPr>
                <w:rFonts w:ascii="宋体" w:hAnsi="宋体"/>
                <w:szCs w:val="21"/>
              </w:rPr>
            </w:pPr>
            <w:r>
              <w:rPr>
                <w:rFonts w:ascii="宋体" w:hAnsi="宋体" w:hint="eastAsia"/>
                <w:szCs w:val="21"/>
              </w:rPr>
              <w:t>农学</w:t>
            </w:r>
          </w:p>
        </w:tc>
        <w:tc>
          <w:tcPr>
            <w:tcW w:w="1080" w:type="dxa"/>
            <w:tcBorders>
              <w:bottom w:val="dashed" w:sz="4" w:space="0" w:color="auto"/>
            </w:tcBorders>
            <w:vAlign w:val="center"/>
          </w:tcPr>
          <w:p w:rsidR="00C47CD0" w:rsidRDefault="00081AE9">
            <w:pPr>
              <w:jc w:val="center"/>
              <w:rPr>
                <w:rFonts w:ascii="宋体" w:hAnsi="宋体"/>
                <w:szCs w:val="21"/>
              </w:rPr>
            </w:pPr>
            <w:r>
              <w:rPr>
                <w:rFonts w:ascii="宋体" w:hAnsi="宋体" w:hint="eastAsia"/>
                <w:szCs w:val="21"/>
              </w:rPr>
              <w:t>15</w:t>
            </w:r>
          </w:p>
        </w:tc>
        <w:tc>
          <w:tcPr>
            <w:tcW w:w="1080" w:type="dxa"/>
            <w:tcBorders>
              <w:bottom w:val="dashed" w:sz="4" w:space="0" w:color="auto"/>
            </w:tcBorders>
            <w:vAlign w:val="center"/>
          </w:tcPr>
          <w:p w:rsidR="00C47CD0" w:rsidRDefault="00081AE9">
            <w:pPr>
              <w:jc w:val="center"/>
              <w:rPr>
                <w:rFonts w:ascii="宋体" w:hAnsi="宋体"/>
                <w:szCs w:val="21"/>
              </w:rPr>
            </w:pPr>
            <w:r>
              <w:rPr>
                <w:rFonts w:ascii="宋体" w:hAnsi="宋体" w:hint="eastAsia"/>
                <w:szCs w:val="21"/>
              </w:rPr>
              <w:t>24.19</w:t>
            </w:r>
          </w:p>
        </w:tc>
        <w:tc>
          <w:tcPr>
            <w:tcW w:w="5580" w:type="dxa"/>
            <w:tcBorders>
              <w:bottom w:val="dashed" w:sz="4" w:space="0" w:color="auto"/>
            </w:tcBorders>
            <w:vAlign w:val="center"/>
          </w:tcPr>
          <w:p w:rsidR="00C47CD0" w:rsidRDefault="00081AE9">
            <w:pPr>
              <w:rPr>
                <w:rFonts w:ascii="宋体" w:hAnsi="宋体"/>
                <w:szCs w:val="21"/>
              </w:rPr>
            </w:pPr>
            <w:r>
              <w:rPr>
                <w:rFonts w:ascii="宋体" w:hAnsi="宋体"/>
                <w:szCs w:val="21"/>
              </w:rPr>
              <w:t>农学</w:t>
            </w:r>
            <w:r>
              <w:rPr>
                <w:rFonts w:ascii="宋体" w:hAnsi="宋体" w:hint="eastAsia"/>
                <w:szCs w:val="21"/>
              </w:rPr>
              <w:t>、</w:t>
            </w:r>
            <w:r>
              <w:rPr>
                <w:rFonts w:ascii="宋体" w:hAnsi="宋体"/>
                <w:szCs w:val="21"/>
              </w:rPr>
              <w:t>园艺</w:t>
            </w:r>
            <w:r>
              <w:rPr>
                <w:rFonts w:ascii="宋体" w:hAnsi="宋体" w:hint="eastAsia"/>
                <w:szCs w:val="21"/>
              </w:rPr>
              <w:t>、</w:t>
            </w:r>
            <w:r>
              <w:rPr>
                <w:rFonts w:ascii="宋体" w:hAnsi="宋体"/>
                <w:szCs w:val="21"/>
              </w:rPr>
              <w:t>植物保护</w:t>
            </w:r>
            <w:r>
              <w:rPr>
                <w:rFonts w:ascii="宋体" w:hAnsi="宋体" w:hint="eastAsia"/>
                <w:szCs w:val="21"/>
              </w:rPr>
              <w:t>、</w:t>
            </w:r>
            <w:r>
              <w:rPr>
                <w:rFonts w:ascii="宋体" w:hAnsi="宋体"/>
                <w:szCs w:val="21"/>
              </w:rPr>
              <w:t>种子科学与工程</w:t>
            </w:r>
            <w:r>
              <w:rPr>
                <w:rFonts w:ascii="宋体" w:hAnsi="宋体" w:hint="eastAsia"/>
                <w:szCs w:val="21"/>
              </w:rPr>
              <w:t>、</w:t>
            </w:r>
            <w:r>
              <w:rPr>
                <w:rFonts w:ascii="宋体" w:hAnsi="宋体"/>
                <w:szCs w:val="21"/>
              </w:rPr>
              <w:t>设施农业科学与工程</w:t>
            </w:r>
            <w:r>
              <w:rPr>
                <w:rFonts w:ascii="宋体" w:hAnsi="宋体" w:hint="eastAsia"/>
                <w:szCs w:val="21"/>
              </w:rPr>
              <w:t>、</w:t>
            </w:r>
            <w:r>
              <w:rPr>
                <w:rFonts w:ascii="宋体" w:hAnsi="宋体"/>
                <w:szCs w:val="21"/>
              </w:rPr>
              <w:t>农业资源与环境</w:t>
            </w:r>
            <w:r>
              <w:rPr>
                <w:rFonts w:ascii="宋体" w:hAnsi="宋体" w:hint="eastAsia"/>
                <w:szCs w:val="21"/>
              </w:rPr>
              <w:t>、</w:t>
            </w:r>
            <w:r>
              <w:rPr>
                <w:rFonts w:ascii="宋体" w:hAnsi="宋体"/>
                <w:szCs w:val="21"/>
              </w:rPr>
              <w:t>水土保持与荒漠化防治</w:t>
            </w:r>
            <w:r>
              <w:rPr>
                <w:rFonts w:ascii="宋体" w:hAnsi="宋体" w:hint="eastAsia"/>
                <w:szCs w:val="21"/>
              </w:rPr>
              <w:t>、</w:t>
            </w:r>
            <w:r>
              <w:rPr>
                <w:rFonts w:ascii="宋体" w:hAnsi="宋体"/>
                <w:szCs w:val="21"/>
              </w:rPr>
              <w:t>动物科学</w:t>
            </w:r>
            <w:r>
              <w:rPr>
                <w:rFonts w:ascii="宋体" w:hAnsi="宋体" w:hint="eastAsia"/>
                <w:szCs w:val="21"/>
              </w:rPr>
              <w:t>、</w:t>
            </w:r>
            <w:r>
              <w:rPr>
                <w:rFonts w:ascii="宋体" w:hAnsi="宋体"/>
                <w:szCs w:val="21"/>
              </w:rPr>
              <w:t>动物医学</w:t>
            </w:r>
            <w:r>
              <w:rPr>
                <w:rFonts w:ascii="宋体" w:hAnsi="宋体" w:hint="eastAsia"/>
                <w:szCs w:val="21"/>
              </w:rPr>
              <w:t>、</w:t>
            </w:r>
            <w:r>
              <w:rPr>
                <w:rFonts w:ascii="宋体" w:hAnsi="宋体"/>
                <w:szCs w:val="21"/>
              </w:rPr>
              <w:t>动物药学</w:t>
            </w:r>
            <w:r>
              <w:rPr>
                <w:rFonts w:ascii="宋体" w:hAnsi="宋体" w:hint="eastAsia"/>
                <w:szCs w:val="21"/>
              </w:rPr>
              <w:t>、</w:t>
            </w:r>
            <w:r>
              <w:rPr>
                <w:rFonts w:ascii="宋体" w:hAnsi="宋体"/>
                <w:szCs w:val="21"/>
              </w:rPr>
              <w:t>林学</w:t>
            </w:r>
            <w:r>
              <w:rPr>
                <w:rFonts w:ascii="宋体" w:hAnsi="宋体" w:hint="eastAsia"/>
                <w:szCs w:val="21"/>
              </w:rPr>
              <w:t>、</w:t>
            </w:r>
            <w:r>
              <w:rPr>
                <w:rFonts w:ascii="宋体" w:hAnsi="宋体"/>
                <w:szCs w:val="21"/>
              </w:rPr>
              <w:t>园林</w:t>
            </w:r>
            <w:r>
              <w:rPr>
                <w:rFonts w:ascii="宋体" w:hAnsi="宋体" w:hint="eastAsia"/>
                <w:szCs w:val="21"/>
              </w:rPr>
              <w:t>、</w:t>
            </w:r>
            <w:r>
              <w:rPr>
                <w:rFonts w:ascii="宋体" w:hAnsi="宋体"/>
                <w:szCs w:val="21"/>
              </w:rPr>
              <w:t>森林保护</w:t>
            </w:r>
            <w:r>
              <w:rPr>
                <w:rFonts w:ascii="宋体" w:hAnsi="宋体" w:hint="eastAsia"/>
                <w:szCs w:val="21"/>
              </w:rPr>
              <w:t>、</w:t>
            </w:r>
            <w:r>
              <w:rPr>
                <w:rFonts w:ascii="宋体" w:hAnsi="宋体"/>
                <w:szCs w:val="21"/>
              </w:rPr>
              <w:t>水产养殖学</w:t>
            </w:r>
            <w:r>
              <w:rPr>
                <w:rFonts w:ascii="宋体" w:hAnsi="宋体" w:hint="eastAsia"/>
                <w:szCs w:val="21"/>
              </w:rPr>
              <w:t>、</w:t>
            </w:r>
            <w:r>
              <w:rPr>
                <w:rFonts w:ascii="宋体" w:hAnsi="宋体"/>
                <w:szCs w:val="21"/>
              </w:rPr>
              <w:t>草业科学</w:t>
            </w:r>
          </w:p>
        </w:tc>
      </w:tr>
      <w:tr w:rsidR="00C47CD0">
        <w:trPr>
          <w:trHeight w:val="763"/>
        </w:trPr>
        <w:tc>
          <w:tcPr>
            <w:tcW w:w="90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理学</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9</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14.52</w:t>
            </w:r>
          </w:p>
        </w:tc>
        <w:tc>
          <w:tcPr>
            <w:tcW w:w="5580" w:type="dxa"/>
            <w:tcBorders>
              <w:top w:val="dashed" w:sz="4" w:space="0" w:color="auto"/>
              <w:bottom w:val="dashed" w:sz="4" w:space="0" w:color="auto"/>
            </w:tcBorders>
            <w:vAlign w:val="center"/>
          </w:tcPr>
          <w:p w:rsidR="00C47CD0" w:rsidRDefault="00081AE9">
            <w:pPr>
              <w:rPr>
                <w:rFonts w:ascii="宋体" w:hAnsi="宋体"/>
                <w:szCs w:val="21"/>
              </w:rPr>
            </w:pPr>
            <w:r>
              <w:rPr>
                <w:rFonts w:ascii="宋体" w:hAnsi="宋体"/>
                <w:szCs w:val="21"/>
              </w:rPr>
              <w:t>数学与应用数学</w:t>
            </w:r>
            <w:r>
              <w:rPr>
                <w:rFonts w:ascii="宋体" w:hAnsi="宋体" w:hint="eastAsia"/>
                <w:szCs w:val="21"/>
              </w:rPr>
              <w:t>、</w:t>
            </w:r>
            <w:r>
              <w:rPr>
                <w:rFonts w:ascii="宋体" w:hAnsi="宋体"/>
                <w:szCs w:val="21"/>
              </w:rPr>
              <w:t>应用化学</w:t>
            </w:r>
            <w:r>
              <w:rPr>
                <w:rFonts w:ascii="宋体" w:hAnsi="宋体" w:hint="eastAsia"/>
                <w:szCs w:val="21"/>
              </w:rPr>
              <w:t>、</w:t>
            </w:r>
            <w:r>
              <w:rPr>
                <w:rFonts w:ascii="宋体" w:hAnsi="宋体"/>
                <w:szCs w:val="21"/>
              </w:rPr>
              <w:t>地理信息科学</w:t>
            </w:r>
            <w:r>
              <w:rPr>
                <w:rFonts w:ascii="宋体" w:hAnsi="宋体" w:hint="eastAsia"/>
                <w:szCs w:val="21"/>
              </w:rPr>
              <w:t>、</w:t>
            </w:r>
            <w:r>
              <w:rPr>
                <w:rFonts w:ascii="宋体" w:hAnsi="宋体"/>
                <w:szCs w:val="21"/>
              </w:rPr>
              <w:t>生物科学</w:t>
            </w:r>
            <w:r>
              <w:rPr>
                <w:rFonts w:ascii="宋体" w:hAnsi="宋体" w:hint="eastAsia"/>
                <w:szCs w:val="21"/>
              </w:rPr>
              <w:t>、</w:t>
            </w:r>
            <w:r>
              <w:rPr>
                <w:rFonts w:ascii="宋体" w:hAnsi="宋体"/>
                <w:szCs w:val="21"/>
              </w:rPr>
              <w:t>生物技术</w:t>
            </w:r>
            <w:r>
              <w:rPr>
                <w:rFonts w:ascii="宋体" w:hAnsi="宋体" w:hint="eastAsia"/>
                <w:szCs w:val="21"/>
              </w:rPr>
              <w:t>、</w:t>
            </w:r>
            <w:r>
              <w:rPr>
                <w:rFonts w:ascii="宋体" w:hAnsi="宋体"/>
                <w:szCs w:val="21"/>
              </w:rPr>
              <w:t>生态学</w:t>
            </w:r>
            <w:r>
              <w:rPr>
                <w:rFonts w:ascii="宋体" w:hAnsi="宋体" w:hint="eastAsia"/>
                <w:szCs w:val="21"/>
              </w:rPr>
              <w:t>、</w:t>
            </w:r>
            <w:r>
              <w:rPr>
                <w:rFonts w:ascii="宋体" w:hAnsi="宋体"/>
                <w:szCs w:val="21"/>
              </w:rPr>
              <w:t>环境科学</w:t>
            </w:r>
            <w:r>
              <w:rPr>
                <w:rFonts w:ascii="宋体" w:hAnsi="宋体" w:hint="eastAsia"/>
                <w:szCs w:val="21"/>
              </w:rPr>
              <w:t>、</w:t>
            </w:r>
            <w:r>
              <w:rPr>
                <w:rFonts w:ascii="宋体" w:hAnsi="宋体"/>
                <w:szCs w:val="21"/>
              </w:rPr>
              <w:t>药学</w:t>
            </w:r>
            <w:r>
              <w:rPr>
                <w:rFonts w:ascii="宋体" w:hAnsi="宋体" w:hint="eastAsia"/>
                <w:szCs w:val="21"/>
              </w:rPr>
              <w:t>、动植物检疫</w:t>
            </w:r>
          </w:p>
        </w:tc>
      </w:tr>
      <w:tr w:rsidR="00C47CD0">
        <w:trPr>
          <w:trHeight w:val="2004"/>
        </w:trPr>
        <w:tc>
          <w:tcPr>
            <w:tcW w:w="90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工学</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20</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32.26</w:t>
            </w:r>
          </w:p>
        </w:tc>
        <w:tc>
          <w:tcPr>
            <w:tcW w:w="5580" w:type="dxa"/>
            <w:tcBorders>
              <w:top w:val="dashed" w:sz="4" w:space="0" w:color="auto"/>
              <w:bottom w:val="dashed" w:sz="4" w:space="0" w:color="auto"/>
            </w:tcBorders>
            <w:vAlign w:val="center"/>
          </w:tcPr>
          <w:p w:rsidR="00C47CD0" w:rsidRDefault="00081AE9">
            <w:pPr>
              <w:rPr>
                <w:rFonts w:ascii="宋体" w:hAnsi="宋体"/>
                <w:szCs w:val="21"/>
              </w:rPr>
            </w:pPr>
            <w:r>
              <w:rPr>
                <w:rFonts w:ascii="宋体" w:hAnsi="宋体"/>
                <w:szCs w:val="21"/>
              </w:rPr>
              <w:t>机械设计制造及其自动化</w:t>
            </w:r>
            <w:r>
              <w:rPr>
                <w:rFonts w:ascii="宋体" w:hAnsi="宋体" w:hint="eastAsia"/>
                <w:szCs w:val="21"/>
              </w:rPr>
              <w:t>、</w:t>
            </w:r>
            <w:r>
              <w:rPr>
                <w:rFonts w:ascii="宋体" w:hAnsi="宋体"/>
                <w:szCs w:val="21"/>
              </w:rPr>
              <w:t>农业机械化及其自动化</w:t>
            </w:r>
            <w:r>
              <w:rPr>
                <w:rFonts w:ascii="宋体" w:hAnsi="宋体" w:hint="eastAsia"/>
                <w:szCs w:val="21"/>
              </w:rPr>
              <w:t>、</w:t>
            </w:r>
            <w:r>
              <w:rPr>
                <w:rFonts w:ascii="宋体" w:hAnsi="宋体"/>
                <w:szCs w:val="21"/>
              </w:rPr>
              <w:t>电气工程及其自动化</w:t>
            </w:r>
            <w:r>
              <w:rPr>
                <w:rFonts w:ascii="宋体" w:hAnsi="宋体" w:hint="eastAsia"/>
                <w:szCs w:val="21"/>
              </w:rPr>
              <w:t>、</w:t>
            </w:r>
            <w:r>
              <w:rPr>
                <w:rFonts w:ascii="宋体" w:hAnsi="宋体"/>
                <w:szCs w:val="21"/>
              </w:rPr>
              <w:t>农业电气化</w:t>
            </w:r>
            <w:r>
              <w:rPr>
                <w:rFonts w:ascii="宋体" w:hAnsi="宋体" w:hint="eastAsia"/>
                <w:szCs w:val="21"/>
              </w:rPr>
              <w:t>、</w:t>
            </w:r>
            <w:r>
              <w:rPr>
                <w:rFonts w:ascii="宋体" w:hAnsi="宋体"/>
                <w:szCs w:val="21"/>
              </w:rPr>
              <w:t>电子信息科学与技术</w:t>
            </w:r>
            <w:r>
              <w:rPr>
                <w:rFonts w:ascii="宋体" w:hAnsi="宋体" w:hint="eastAsia"/>
                <w:szCs w:val="21"/>
              </w:rPr>
              <w:t>、</w:t>
            </w:r>
            <w:r>
              <w:rPr>
                <w:rFonts w:ascii="宋体" w:hAnsi="宋体"/>
                <w:szCs w:val="21"/>
              </w:rPr>
              <w:t>计算机科学与技术</w:t>
            </w:r>
            <w:r>
              <w:rPr>
                <w:rFonts w:ascii="宋体" w:hAnsi="宋体" w:hint="eastAsia"/>
                <w:szCs w:val="21"/>
              </w:rPr>
              <w:t>、</w:t>
            </w:r>
            <w:r>
              <w:rPr>
                <w:rFonts w:ascii="宋体" w:hAnsi="宋体"/>
                <w:szCs w:val="21"/>
              </w:rPr>
              <w:t>物联网工程</w:t>
            </w:r>
            <w:r>
              <w:rPr>
                <w:rFonts w:ascii="宋体" w:hAnsi="宋体" w:hint="eastAsia"/>
                <w:szCs w:val="21"/>
              </w:rPr>
              <w:t>、</w:t>
            </w:r>
            <w:r>
              <w:rPr>
                <w:rFonts w:ascii="宋体" w:hAnsi="宋体"/>
                <w:szCs w:val="21"/>
              </w:rPr>
              <w:t>土木工程</w:t>
            </w:r>
            <w:r>
              <w:rPr>
                <w:rFonts w:ascii="宋体" w:hAnsi="宋体" w:hint="eastAsia"/>
                <w:szCs w:val="21"/>
              </w:rPr>
              <w:t>、</w:t>
            </w:r>
            <w:r>
              <w:rPr>
                <w:rFonts w:ascii="宋体" w:hAnsi="宋体"/>
                <w:szCs w:val="21"/>
              </w:rPr>
              <w:t>水利水电工程</w:t>
            </w:r>
            <w:r>
              <w:rPr>
                <w:rFonts w:ascii="宋体" w:hAnsi="宋体" w:hint="eastAsia"/>
                <w:szCs w:val="21"/>
              </w:rPr>
              <w:t>、</w:t>
            </w:r>
            <w:r>
              <w:rPr>
                <w:rFonts w:ascii="宋体" w:hAnsi="宋体"/>
                <w:szCs w:val="21"/>
              </w:rPr>
              <w:t>水文与水资源工程</w:t>
            </w:r>
            <w:r>
              <w:rPr>
                <w:rFonts w:ascii="宋体" w:hAnsi="宋体" w:hint="eastAsia"/>
                <w:szCs w:val="21"/>
              </w:rPr>
              <w:t>、</w:t>
            </w:r>
            <w:r>
              <w:rPr>
                <w:rFonts w:ascii="宋体" w:hAnsi="宋体"/>
                <w:szCs w:val="21"/>
              </w:rPr>
              <w:t>包装工程</w:t>
            </w:r>
            <w:r>
              <w:rPr>
                <w:rFonts w:ascii="宋体" w:hAnsi="宋体" w:hint="eastAsia"/>
                <w:szCs w:val="21"/>
              </w:rPr>
              <w:t>、</w:t>
            </w:r>
            <w:r>
              <w:rPr>
                <w:rFonts w:ascii="宋体" w:hAnsi="宋体"/>
                <w:szCs w:val="21"/>
              </w:rPr>
              <w:t>交通运输</w:t>
            </w:r>
            <w:r>
              <w:rPr>
                <w:rFonts w:ascii="宋体" w:hAnsi="宋体" w:hint="eastAsia"/>
                <w:szCs w:val="21"/>
              </w:rPr>
              <w:t>、</w:t>
            </w:r>
            <w:r>
              <w:rPr>
                <w:rFonts w:ascii="宋体" w:hAnsi="宋体"/>
                <w:szCs w:val="21"/>
              </w:rPr>
              <w:t>交通工程</w:t>
            </w:r>
            <w:r>
              <w:rPr>
                <w:rFonts w:ascii="宋体" w:hAnsi="宋体" w:hint="eastAsia"/>
                <w:szCs w:val="21"/>
              </w:rPr>
              <w:t>、</w:t>
            </w:r>
            <w:r>
              <w:rPr>
                <w:rFonts w:ascii="宋体" w:hAnsi="宋体"/>
                <w:szCs w:val="21"/>
              </w:rPr>
              <w:t>农业建筑环境与能源工程</w:t>
            </w:r>
            <w:r>
              <w:rPr>
                <w:rFonts w:ascii="宋体" w:hAnsi="宋体" w:hint="eastAsia"/>
                <w:szCs w:val="21"/>
              </w:rPr>
              <w:t>、</w:t>
            </w:r>
            <w:r>
              <w:rPr>
                <w:rFonts w:ascii="宋体" w:hAnsi="宋体"/>
                <w:szCs w:val="21"/>
              </w:rPr>
              <w:t>农业水利工程</w:t>
            </w:r>
            <w:r>
              <w:rPr>
                <w:rFonts w:ascii="宋体" w:hAnsi="宋体" w:hint="eastAsia"/>
                <w:szCs w:val="21"/>
              </w:rPr>
              <w:t>、</w:t>
            </w:r>
            <w:r>
              <w:rPr>
                <w:rFonts w:ascii="宋体" w:hAnsi="宋体"/>
                <w:szCs w:val="21"/>
              </w:rPr>
              <w:t>食品科学与工程</w:t>
            </w:r>
            <w:r>
              <w:rPr>
                <w:rFonts w:ascii="宋体" w:hAnsi="宋体" w:hint="eastAsia"/>
                <w:szCs w:val="21"/>
              </w:rPr>
              <w:t>、</w:t>
            </w:r>
            <w:r>
              <w:rPr>
                <w:rFonts w:ascii="宋体" w:hAnsi="宋体"/>
                <w:szCs w:val="21"/>
              </w:rPr>
              <w:t>食品质量与安全</w:t>
            </w:r>
            <w:r>
              <w:rPr>
                <w:rFonts w:ascii="宋体" w:hAnsi="宋体" w:hint="eastAsia"/>
                <w:szCs w:val="21"/>
              </w:rPr>
              <w:t>、新能源科学与工程、化学工程与工艺、葡萄与葡萄酒工程</w:t>
            </w:r>
          </w:p>
        </w:tc>
      </w:tr>
      <w:tr w:rsidR="00C47CD0">
        <w:trPr>
          <w:trHeight w:val="427"/>
        </w:trPr>
        <w:tc>
          <w:tcPr>
            <w:tcW w:w="90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经济学</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2</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3.23</w:t>
            </w:r>
          </w:p>
        </w:tc>
        <w:tc>
          <w:tcPr>
            <w:tcW w:w="5580" w:type="dxa"/>
            <w:tcBorders>
              <w:top w:val="dashed" w:sz="4" w:space="0" w:color="auto"/>
              <w:bottom w:val="dashed" w:sz="4" w:space="0" w:color="auto"/>
            </w:tcBorders>
            <w:vAlign w:val="center"/>
          </w:tcPr>
          <w:p w:rsidR="00C47CD0" w:rsidRDefault="00081AE9">
            <w:pPr>
              <w:rPr>
                <w:rFonts w:ascii="宋体" w:hAnsi="宋体"/>
                <w:szCs w:val="21"/>
              </w:rPr>
            </w:pPr>
            <w:r>
              <w:rPr>
                <w:rFonts w:ascii="宋体" w:hAnsi="宋体"/>
                <w:szCs w:val="21"/>
              </w:rPr>
              <w:t>经济学</w:t>
            </w:r>
            <w:r>
              <w:rPr>
                <w:rFonts w:ascii="宋体" w:hAnsi="宋体" w:hint="eastAsia"/>
                <w:szCs w:val="21"/>
              </w:rPr>
              <w:t>、</w:t>
            </w:r>
            <w:r>
              <w:rPr>
                <w:rFonts w:ascii="宋体" w:hAnsi="宋体"/>
                <w:szCs w:val="21"/>
              </w:rPr>
              <w:t>国际经济与贸易</w:t>
            </w:r>
          </w:p>
        </w:tc>
      </w:tr>
      <w:tr w:rsidR="00C47CD0">
        <w:trPr>
          <w:trHeight w:val="1413"/>
        </w:trPr>
        <w:tc>
          <w:tcPr>
            <w:tcW w:w="90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管理学</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12</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19.35</w:t>
            </w:r>
          </w:p>
        </w:tc>
        <w:tc>
          <w:tcPr>
            <w:tcW w:w="5580" w:type="dxa"/>
            <w:tcBorders>
              <w:top w:val="dashed" w:sz="4" w:space="0" w:color="auto"/>
              <w:bottom w:val="dashed" w:sz="4" w:space="0" w:color="auto"/>
            </w:tcBorders>
            <w:vAlign w:val="center"/>
          </w:tcPr>
          <w:p w:rsidR="00C47CD0" w:rsidRDefault="00081AE9">
            <w:pPr>
              <w:rPr>
                <w:rFonts w:ascii="宋体" w:hAnsi="宋体"/>
                <w:szCs w:val="21"/>
              </w:rPr>
            </w:pPr>
            <w:r>
              <w:rPr>
                <w:rFonts w:ascii="宋体" w:hAnsi="宋体"/>
                <w:szCs w:val="21"/>
              </w:rPr>
              <w:t>人文地理与城乡规划</w:t>
            </w:r>
            <w:r>
              <w:rPr>
                <w:rFonts w:ascii="宋体" w:hAnsi="宋体" w:hint="eastAsia"/>
                <w:szCs w:val="21"/>
              </w:rPr>
              <w:t>、</w:t>
            </w:r>
            <w:r>
              <w:rPr>
                <w:rFonts w:ascii="宋体" w:hAnsi="宋体"/>
                <w:szCs w:val="21"/>
              </w:rPr>
              <w:t>信息管理与信息系统</w:t>
            </w:r>
            <w:r>
              <w:rPr>
                <w:rFonts w:ascii="宋体" w:hAnsi="宋体" w:hint="eastAsia"/>
                <w:szCs w:val="21"/>
              </w:rPr>
              <w:t>、</w:t>
            </w:r>
            <w:r>
              <w:rPr>
                <w:rFonts w:ascii="宋体" w:hAnsi="宋体"/>
                <w:szCs w:val="21"/>
              </w:rPr>
              <w:t>工程管理</w:t>
            </w:r>
            <w:r>
              <w:rPr>
                <w:rFonts w:ascii="宋体" w:hAnsi="宋体" w:hint="eastAsia"/>
                <w:szCs w:val="21"/>
              </w:rPr>
              <w:t>、</w:t>
            </w:r>
            <w:r>
              <w:rPr>
                <w:rFonts w:ascii="宋体" w:hAnsi="宋体"/>
                <w:szCs w:val="21"/>
              </w:rPr>
              <w:t>房地产开发与管理</w:t>
            </w:r>
            <w:r>
              <w:rPr>
                <w:rFonts w:ascii="宋体" w:hAnsi="宋体" w:hint="eastAsia"/>
                <w:szCs w:val="21"/>
              </w:rPr>
              <w:t>、</w:t>
            </w:r>
            <w:r>
              <w:rPr>
                <w:rFonts w:ascii="宋体" w:hAnsi="宋体"/>
                <w:szCs w:val="21"/>
              </w:rPr>
              <w:t>市场营销</w:t>
            </w:r>
            <w:r>
              <w:rPr>
                <w:rFonts w:ascii="宋体" w:hAnsi="宋体" w:hint="eastAsia"/>
                <w:szCs w:val="21"/>
              </w:rPr>
              <w:t>、</w:t>
            </w:r>
            <w:r>
              <w:rPr>
                <w:rFonts w:ascii="宋体" w:hAnsi="宋体"/>
                <w:szCs w:val="21"/>
              </w:rPr>
              <w:t>会计学</w:t>
            </w:r>
            <w:r>
              <w:rPr>
                <w:rFonts w:ascii="宋体" w:hAnsi="宋体" w:hint="eastAsia"/>
                <w:szCs w:val="21"/>
              </w:rPr>
              <w:t>、</w:t>
            </w:r>
            <w:r>
              <w:rPr>
                <w:rFonts w:ascii="宋体" w:hAnsi="宋体"/>
                <w:szCs w:val="21"/>
              </w:rPr>
              <w:t>人力资源管理</w:t>
            </w:r>
            <w:r>
              <w:rPr>
                <w:rFonts w:ascii="宋体" w:hAnsi="宋体" w:hint="eastAsia"/>
                <w:szCs w:val="21"/>
              </w:rPr>
              <w:t>、</w:t>
            </w:r>
            <w:r>
              <w:rPr>
                <w:rFonts w:ascii="宋体" w:hAnsi="宋体"/>
                <w:szCs w:val="21"/>
              </w:rPr>
              <w:t>农林经济管理</w:t>
            </w:r>
            <w:r>
              <w:rPr>
                <w:rFonts w:ascii="宋体" w:hAnsi="宋体" w:hint="eastAsia"/>
                <w:szCs w:val="21"/>
              </w:rPr>
              <w:t>、</w:t>
            </w:r>
            <w:r>
              <w:rPr>
                <w:rFonts w:ascii="宋体" w:hAnsi="宋体"/>
                <w:szCs w:val="21"/>
              </w:rPr>
              <w:t>公共事业管理</w:t>
            </w:r>
            <w:r>
              <w:rPr>
                <w:rFonts w:ascii="宋体" w:hAnsi="宋体" w:hint="eastAsia"/>
                <w:szCs w:val="21"/>
              </w:rPr>
              <w:t>、</w:t>
            </w:r>
            <w:r>
              <w:rPr>
                <w:rFonts w:ascii="宋体" w:hAnsi="宋体"/>
                <w:szCs w:val="21"/>
              </w:rPr>
              <w:t>土地资源管理</w:t>
            </w:r>
            <w:r>
              <w:rPr>
                <w:rFonts w:ascii="宋体" w:hAnsi="宋体" w:hint="eastAsia"/>
                <w:szCs w:val="21"/>
              </w:rPr>
              <w:t>、</w:t>
            </w:r>
            <w:r>
              <w:rPr>
                <w:rFonts w:ascii="宋体" w:hAnsi="宋体"/>
                <w:szCs w:val="21"/>
              </w:rPr>
              <w:t>旅游管理</w:t>
            </w:r>
            <w:r>
              <w:rPr>
                <w:rFonts w:ascii="宋体" w:hAnsi="宋体" w:hint="eastAsia"/>
                <w:szCs w:val="21"/>
              </w:rPr>
              <w:t>、国际商务</w:t>
            </w:r>
          </w:p>
        </w:tc>
      </w:tr>
      <w:tr w:rsidR="00C47CD0">
        <w:trPr>
          <w:trHeight w:val="380"/>
        </w:trPr>
        <w:tc>
          <w:tcPr>
            <w:tcW w:w="90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文学</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3</w:t>
            </w:r>
          </w:p>
        </w:tc>
        <w:tc>
          <w:tcPr>
            <w:tcW w:w="1080" w:type="dxa"/>
            <w:tcBorders>
              <w:top w:val="dashed" w:sz="4" w:space="0" w:color="auto"/>
              <w:bottom w:val="dashed" w:sz="4" w:space="0" w:color="auto"/>
            </w:tcBorders>
            <w:vAlign w:val="center"/>
          </w:tcPr>
          <w:p w:rsidR="00C47CD0" w:rsidRDefault="00081AE9">
            <w:pPr>
              <w:jc w:val="center"/>
              <w:rPr>
                <w:rFonts w:ascii="宋体" w:hAnsi="宋体"/>
                <w:szCs w:val="21"/>
              </w:rPr>
            </w:pPr>
            <w:r>
              <w:rPr>
                <w:rFonts w:ascii="宋体" w:hAnsi="宋体" w:hint="eastAsia"/>
                <w:szCs w:val="21"/>
              </w:rPr>
              <w:t>4.84</w:t>
            </w:r>
          </w:p>
        </w:tc>
        <w:tc>
          <w:tcPr>
            <w:tcW w:w="5580" w:type="dxa"/>
            <w:tcBorders>
              <w:top w:val="dashed" w:sz="4" w:space="0" w:color="auto"/>
              <w:bottom w:val="dashed" w:sz="4" w:space="0" w:color="auto"/>
            </w:tcBorders>
            <w:vAlign w:val="center"/>
          </w:tcPr>
          <w:p w:rsidR="00C47CD0" w:rsidRDefault="00081AE9">
            <w:pPr>
              <w:rPr>
                <w:rFonts w:ascii="宋体" w:hAnsi="宋体"/>
                <w:szCs w:val="21"/>
              </w:rPr>
            </w:pPr>
            <w:r>
              <w:rPr>
                <w:rFonts w:ascii="宋体" w:hAnsi="宋体"/>
                <w:szCs w:val="21"/>
              </w:rPr>
              <w:t>汉语言</w:t>
            </w:r>
            <w:r>
              <w:rPr>
                <w:rFonts w:ascii="宋体" w:hAnsi="宋体" w:hint="eastAsia"/>
                <w:szCs w:val="21"/>
              </w:rPr>
              <w:t>、</w:t>
            </w:r>
            <w:r>
              <w:rPr>
                <w:rFonts w:ascii="宋体" w:hAnsi="宋体"/>
                <w:szCs w:val="21"/>
              </w:rPr>
              <w:t>中国少数民族语言文学</w:t>
            </w:r>
            <w:r>
              <w:rPr>
                <w:rFonts w:ascii="宋体" w:hAnsi="宋体" w:hint="eastAsia"/>
                <w:szCs w:val="21"/>
              </w:rPr>
              <w:t>、</w:t>
            </w:r>
            <w:r>
              <w:rPr>
                <w:rFonts w:ascii="宋体" w:hAnsi="宋体"/>
                <w:szCs w:val="21"/>
              </w:rPr>
              <w:t>英语</w:t>
            </w:r>
          </w:p>
        </w:tc>
      </w:tr>
      <w:tr w:rsidR="00C47CD0">
        <w:trPr>
          <w:trHeight w:val="380"/>
        </w:trPr>
        <w:tc>
          <w:tcPr>
            <w:tcW w:w="900" w:type="dxa"/>
            <w:tcBorders>
              <w:top w:val="dashed" w:sz="4" w:space="0" w:color="auto"/>
            </w:tcBorders>
            <w:vAlign w:val="center"/>
          </w:tcPr>
          <w:p w:rsidR="00C47CD0" w:rsidRDefault="00081AE9">
            <w:pPr>
              <w:jc w:val="center"/>
              <w:rPr>
                <w:rFonts w:ascii="宋体" w:hAnsi="宋体"/>
                <w:szCs w:val="21"/>
              </w:rPr>
            </w:pPr>
            <w:r>
              <w:rPr>
                <w:rFonts w:ascii="宋体" w:hAnsi="宋体" w:hint="eastAsia"/>
                <w:szCs w:val="21"/>
              </w:rPr>
              <w:t>法学</w:t>
            </w:r>
          </w:p>
        </w:tc>
        <w:tc>
          <w:tcPr>
            <w:tcW w:w="1080" w:type="dxa"/>
            <w:tcBorders>
              <w:top w:val="dashed" w:sz="4" w:space="0" w:color="auto"/>
            </w:tcBorders>
            <w:vAlign w:val="center"/>
          </w:tcPr>
          <w:p w:rsidR="00C47CD0" w:rsidRDefault="00081AE9">
            <w:pPr>
              <w:jc w:val="center"/>
              <w:rPr>
                <w:rFonts w:ascii="宋体" w:hAnsi="宋体"/>
                <w:szCs w:val="21"/>
              </w:rPr>
            </w:pPr>
            <w:r>
              <w:rPr>
                <w:rFonts w:ascii="宋体" w:hAnsi="宋体" w:hint="eastAsia"/>
                <w:szCs w:val="21"/>
              </w:rPr>
              <w:t>1</w:t>
            </w:r>
          </w:p>
        </w:tc>
        <w:tc>
          <w:tcPr>
            <w:tcW w:w="1080" w:type="dxa"/>
            <w:tcBorders>
              <w:top w:val="dashed" w:sz="4" w:space="0" w:color="auto"/>
            </w:tcBorders>
            <w:vAlign w:val="center"/>
          </w:tcPr>
          <w:p w:rsidR="00C47CD0" w:rsidRDefault="00081AE9">
            <w:pPr>
              <w:jc w:val="center"/>
              <w:rPr>
                <w:rFonts w:ascii="宋体" w:hAnsi="宋体"/>
                <w:szCs w:val="21"/>
              </w:rPr>
            </w:pPr>
            <w:r>
              <w:rPr>
                <w:rFonts w:ascii="宋体" w:hAnsi="宋体" w:hint="eastAsia"/>
                <w:szCs w:val="21"/>
              </w:rPr>
              <w:t>1.61</w:t>
            </w:r>
          </w:p>
        </w:tc>
        <w:tc>
          <w:tcPr>
            <w:tcW w:w="5580" w:type="dxa"/>
            <w:tcBorders>
              <w:top w:val="dashed" w:sz="4" w:space="0" w:color="auto"/>
            </w:tcBorders>
            <w:vAlign w:val="center"/>
          </w:tcPr>
          <w:p w:rsidR="00C47CD0" w:rsidRDefault="00081AE9">
            <w:pPr>
              <w:rPr>
                <w:rFonts w:ascii="宋体" w:hAnsi="宋体"/>
                <w:szCs w:val="21"/>
              </w:rPr>
            </w:pPr>
            <w:r>
              <w:rPr>
                <w:rFonts w:ascii="宋体" w:hAnsi="宋体"/>
                <w:szCs w:val="21"/>
              </w:rPr>
              <w:t>法学</w:t>
            </w:r>
          </w:p>
        </w:tc>
      </w:tr>
    </w:tbl>
    <w:p w:rsidR="00C47CD0" w:rsidRDefault="00081AE9">
      <w:pPr>
        <w:ind w:firstLineChars="200" w:firstLine="640"/>
        <w:rPr>
          <w:rFonts w:ascii="仿宋_GB2312" w:eastAsia="仿宋_GB2312"/>
          <w:sz w:val="32"/>
          <w:szCs w:val="32"/>
        </w:rPr>
      </w:pPr>
      <w:r>
        <w:rPr>
          <w:rFonts w:ascii="仿宋_GB2312" w:eastAsia="仿宋_GB2312" w:hint="eastAsia"/>
          <w:sz w:val="32"/>
          <w:szCs w:val="32"/>
        </w:rPr>
        <w:t>学校目前是农、林、水学科最为完备的高等农业院校，学科涵盖农、理、工、经、管、文、法等7大门类，共62</w:t>
      </w:r>
      <w:r>
        <w:rPr>
          <w:rFonts w:ascii="仿宋_GB2312" w:eastAsia="仿宋_GB2312" w:hint="eastAsia"/>
          <w:sz w:val="32"/>
          <w:szCs w:val="32"/>
        </w:rPr>
        <w:lastRenderedPageBreak/>
        <w:t>个专业，具体专业及学科门类分布见表1。</w:t>
      </w:r>
    </w:p>
    <w:p w:rsidR="00C47CD0" w:rsidRDefault="00081AE9">
      <w:pPr>
        <w:autoSpaceDE w:val="0"/>
        <w:autoSpaceDN w:val="0"/>
        <w:ind w:firstLineChars="200" w:firstLine="643"/>
        <w:jc w:val="left"/>
        <w:outlineLvl w:val="1"/>
        <w:rPr>
          <w:rFonts w:ascii="仿宋_GB2312" w:eastAsia="仿宋_GB2312"/>
          <w:b/>
          <w:sz w:val="32"/>
          <w:szCs w:val="32"/>
        </w:rPr>
      </w:pPr>
      <w:bookmarkStart w:id="34" w:name="_Toc435713778"/>
      <w:bookmarkStart w:id="35" w:name="_Toc435713871"/>
      <w:r>
        <w:rPr>
          <w:rFonts w:ascii="仿宋_GB2312" w:eastAsia="仿宋_GB2312" w:hint="eastAsia"/>
          <w:b/>
          <w:sz w:val="32"/>
          <w:szCs w:val="32"/>
        </w:rPr>
        <w:t>（三）各类全日制在校学生情况及本科生所占比例</w:t>
      </w:r>
      <w:bookmarkEnd w:id="31"/>
      <w:bookmarkEnd w:id="32"/>
      <w:bookmarkEnd w:id="33"/>
      <w:bookmarkEnd w:id="34"/>
      <w:bookmarkEnd w:id="35"/>
    </w:p>
    <w:p w:rsidR="00C47CD0" w:rsidRPr="004B40FB" w:rsidRDefault="00081AE9">
      <w:pPr>
        <w:ind w:firstLineChars="200" w:firstLine="640"/>
        <w:rPr>
          <w:rFonts w:ascii="仿宋_GB2312" w:eastAsia="仿宋_GB2312"/>
          <w:sz w:val="32"/>
          <w:szCs w:val="32"/>
        </w:rPr>
      </w:pPr>
      <w:r w:rsidRPr="004B40FB">
        <w:rPr>
          <w:rFonts w:ascii="仿宋_GB2312" w:eastAsia="仿宋_GB2312" w:hint="eastAsia"/>
          <w:sz w:val="32"/>
          <w:szCs w:val="32"/>
        </w:rPr>
        <w:t>截止201</w:t>
      </w:r>
      <w:r w:rsidRPr="004B40FB">
        <w:rPr>
          <w:rFonts w:ascii="仿宋_GB2312" w:eastAsia="仿宋_GB2312"/>
          <w:sz w:val="32"/>
          <w:szCs w:val="32"/>
        </w:rPr>
        <w:t>6</w:t>
      </w:r>
      <w:r w:rsidRPr="004B40FB">
        <w:rPr>
          <w:rFonts w:ascii="仿宋_GB2312" w:eastAsia="仿宋_GB2312" w:hint="eastAsia"/>
          <w:sz w:val="32"/>
          <w:szCs w:val="32"/>
        </w:rPr>
        <w:t>年</w:t>
      </w:r>
      <w:r w:rsidRPr="004B40FB">
        <w:rPr>
          <w:rFonts w:ascii="仿宋_GB2312" w:eastAsia="仿宋_GB2312"/>
          <w:sz w:val="32"/>
          <w:szCs w:val="32"/>
        </w:rPr>
        <w:t>9</w:t>
      </w:r>
      <w:r w:rsidRPr="004B40FB">
        <w:rPr>
          <w:rFonts w:ascii="仿宋_GB2312" w:eastAsia="仿宋_GB2312" w:hint="eastAsia"/>
          <w:sz w:val="32"/>
          <w:szCs w:val="32"/>
        </w:rPr>
        <w:t>月，我校有全日制在校生</w:t>
      </w:r>
      <w:r w:rsidR="000A5287" w:rsidRPr="004B40FB">
        <w:rPr>
          <w:rFonts w:ascii="仿宋_GB2312" w:eastAsia="仿宋_GB2312" w:hint="eastAsia"/>
          <w:sz w:val="32"/>
          <w:szCs w:val="32"/>
        </w:rPr>
        <w:t>17424</w:t>
      </w:r>
      <w:r w:rsidRPr="004B40FB">
        <w:rPr>
          <w:rFonts w:ascii="仿宋_GB2312" w:eastAsia="仿宋_GB2312" w:hint="eastAsia"/>
          <w:sz w:val="32"/>
          <w:szCs w:val="32"/>
        </w:rPr>
        <w:t>人，其中博士研究生209人，全日制硕士研究生176</w:t>
      </w:r>
      <w:r w:rsidRPr="004B40FB">
        <w:rPr>
          <w:rFonts w:ascii="仿宋_GB2312" w:eastAsia="仿宋_GB2312"/>
          <w:sz w:val="32"/>
          <w:szCs w:val="32"/>
        </w:rPr>
        <w:t>7</w:t>
      </w:r>
      <w:r w:rsidRPr="004B40FB">
        <w:rPr>
          <w:rFonts w:ascii="仿宋_GB2312" w:eastAsia="仿宋_GB2312" w:hint="eastAsia"/>
          <w:sz w:val="32"/>
          <w:szCs w:val="32"/>
        </w:rPr>
        <w:t>，非全日制硕士研究生10</w:t>
      </w:r>
      <w:r w:rsidRPr="004B40FB">
        <w:rPr>
          <w:rFonts w:ascii="仿宋_GB2312" w:eastAsia="仿宋_GB2312"/>
          <w:sz w:val="32"/>
          <w:szCs w:val="32"/>
        </w:rPr>
        <w:t>30</w:t>
      </w:r>
      <w:r w:rsidRPr="004B40FB">
        <w:rPr>
          <w:rFonts w:ascii="仿宋_GB2312" w:eastAsia="仿宋_GB2312" w:hint="eastAsia"/>
          <w:sz w:val="32"/>
          <w:szCs w:val="32"/>
        </w:rPr>
        <w:t>，普通本科生1522</w:t>
      </w:r>
      <w:r w:rsidRPr="004B40FB">
        <w:rPr>
          <w:rFonts w:ascii="仿宋_GB2312" w:eastAsia="仿宋_GB2312"/>
          <w:sz w:val="32"/>
          <w:szCs w:val="32"/>
        </w:rPr>
        <w:t>5</w:t>
      </w:r>
      <w:r w:rsidRPr="004B40FB">
        <w:rPr>
          <w:rFonts w:ascii="仿宋_GB2312" w:eastAsia="仿宋_GB2312" w:hint="eastAsia"/>
          <w:sz w:val="32"/>
          <w:szCs w:val="32"/>
        </w:rPr>
        <w:t>人，高职生163人，成教生3506，留学生</w:t>
      </w:r>
      <w:r w:rsidR="008D5CF1" w:rsidRPr="004B40FB">
        <w:rPr>
          <w:rFonts w:ascii="仿宋_GB2312" w:eastAsia="仿宋_GB2312"/>
          <w:sz w:val="32"/>
          <w:szCs w:val="32"/>
        </w:rPr>
        <w:t>60</w:t>
      </w:r>
      <w:r w:rsidRPr="004B40FB">
        <w:rPr>
          <w:rFonts w:ascii="仿宋_GB2312" w:eastAsia="仿宋_GB2312" w:hint="eastAsia"/>
          <w:sz w:val="32"/>
          <w:szCs w:val="32"/>
        </w:rPr>
        <w:t>人，本科生占全日制在校生总数的比例为8</w:t>
      </w:r>
      <w:r w:rsidR="000A5287" w:rsidRPr="004B40FB">
        <w:rPr>
          <w:rFonts w:ascii="仿宋_GB2312" w:eastAsia="仿宋_GB2312"/>
          <w:sz w:val="32"/>
          <w:szCs w:val="32"/>
        </w:rPr>
        <w:t>7</w:t>
      </w:r>
      <w:r w:rsidRPr="004B40FB">
        <w:rPr>
          <w:rFonts w:ascii="仿宋_GB2312" w:eastAsia="仿宋_GB2312" w:hint="eastAsia"/>
          <w:sz w:val="32"/>
          <w:szCs w:val="32"/>
        </w:rPr>
        <w:t>.</w:t>
      </w:r>
      <w:r w:rsidR="000A5287" w:rsidRPr="004B40FB">
        <w:rPr>
          <w:rFonts w:ascii="仿宋_GB2312" w:eastAsia="仿宋_GB2312"/>
          <w:sz w:val="32"/>
          <w:szCs w:val="32"/>
        </w:rPr>
        <w:t>3</w:t>
      </w:r>
      <w:r w:rsidRPr="004B40FB">
        <w:rPr>
          <w:rFonts w:ascii="仿宋_GB2312" w:eastAsia="仿宋_GB2312"/>
          <w:sz w:val="32"/>
          <w:szCs w:val="32"/>
        </w:rPr>
        <w:t>7</w:t>
      </w:r>
      <w:r w:rsidRPr="004B40FB">
        <w:rPr>
          <w:rFonts w:ascii="仿宋_GB2312" w:eastAsia="仿宋_GB2312" w:hint="eastAsia"/>
          <w:sz w:val="32"/>
          <w:szCs w:val="32"/>
        </w:rPr>
        <w:t>%。</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性别比例：男生占</w:t>
      </w:r>
      <w:r>
        <w:rPr>
          <w:rFonts w:ascii="仿宋_GB2312" w:eastAsia="仿宋_GB2312"/>
          <w:sz w:val="32"/>
          <w:szCs w:val="32"/>
        </w:rPr>
        <w:t>47.8</w:t>
      </w:r>
      <w:r>
        <w:rPr>
          <w:rFonts w:ascii="仿宋_GB2312" w:eastAsia="仿宋_GB2312" w:hint="eastAsia"/>
          <w:sz w:val="32"/>
          <w:szCs w:val="32"/>
        </w:rPr>
        <w:t>%，女生占5</w:t>
      </w:r>
      <w:r>
        <w:rPr>
          <w:rFonts w:ascii="仿宋_GB2312" w:eastAsia="仿宋_GB2312"/>
          <w:sz w:val="32"/>
          <w:szCs w:val="32"/>
        </w:rPr>
        <w:t>2</w:t>
      </w:r>
      <w:r>
        <w:rPr>
          <w:rFonts w:ascii="仿宋_GB2312" w:eastAsia="仿宋_GB2312" w:hint="eastAsia"/>
          <w:sz w:val="32"/>
          <w:szCs w:val="32"/>
        </w:rPr>
        <w:t>.2%；民族比例：汉族占4</w:t>
      </w:r>
      <w:r>
        <w:rPr>
          <w:rFonts w:ascii="仿宋_GB2312" w:eastAsia="仿宋_GB2312"/>
          <w:sz w:val="32"/>
          <w:szCs w:val="32"/>
        </w:rPr>
        <w:t>8</w:t>
      </w:r>
      <w:r>
        <w:rPr>
          <w:rFonts w:ascii="仿宋_GB2312" w:eastAsia="仿宋_GB2312" w:hint="eastAsia"/>
          <w:sz w:val="32"/>
          <w:szCs w:val="32"/>
        </w:rPr>
        <w:t>.</w:t>
      </w:r>
      <w:r>
        <w:rPr>
          <w:rFonts w:ascii="仿宋_GB2312" w:eastAsia="仿宋_GB2312"/>
          <w:sz w:val="32"/>
          <w:szCs w:val="32"/>
        </w:rPr>
        <w:t>8</w:t>
      </w:r>
      <w:r>
        <w:rPr>
          <w:rFonts w:ascii="仿宋_GB2312" w:eastAsia="仿宋_GB2312" w:hint="eastAsia"/>
          <w:sz w:val="32"/>
          <w:szCs w:val="32"/>
        </w:rPr>
        <w:t>%，少数民族占51.</w:t>
      </w:r>
      <w:r>
        <w:rPr>
          <w:rFonts w:ascii="仿宋_GB2312" w:eastAsia="仿宋_GB2312"/>
          <w:sz w:val="32"/>
          <w:szCs w:val="32"/>
        </w:rPr>
        <w:t>2</w:t>
      </w:r>
      <w:r>
        <w:rPr>
          <w:rFonts w:ascii="仿宋_GB2312" w:eastAsia="仿宋_GB2312" w:hint="eastAsia"/>
          <w:sz w:val="32"/>
          <w:szCs w:val="32"/>
        </w:rPr>
        <w:t>%。</w:t>
      </w:r>
    </w:p>
    <w:p w:rsidR="00C47CD0" w:rsidRDefault="00081AE9">
      <w:pPr>
        <w:autoSpaceDE w:val="0"/>
        <w:autoSpaceDN w:val="0"/>
        <w:ind w:firstLineChars="200" w:firstLine="643"/>
        <w:jc w:val="left"/>
        <w:outlineLvl w:val="1"/>
        <w:rPr>
          <w:rFonts w:ascii="仿宋_GB2312" w:eastAsia="仿宋_GB2312"/>
          <w:b/>
          <w:sz w:val="32"/>
          <w:szCs w:val="32"/>
        </w:rPr>
      </w:pPr>
      <w:bookmarkStart w:id="36" w:name="_Toc402443398"/>
      <w:bookmarkStart w:id="37" w:name="_Toc402443153"/>
      <w:bookmarkStart w:id="38" w:name="_Toc402374100"/>
      <w:bookmarkStart w:id="39" w:name="_Toc435713779"/>
      <w:bookmarkStart w:id="40" w:name="_Toc435713872"/>
      <w:r>
        <w:rPr>
          <w:rFonts w:ascii="仿宋_GB2312" w:eastAsia="仿宋_GB2312" w:hint="eastAsia"/>
          <w:b/>
          <w:sz w:val="32"/>
          <w:szCs w:val="32"/>
        </w:rPr>
        <w:t>（四）本科生源情况</w:t>
      </w:r>
      <w:bookmarkEnd w:id="36"/>
      <w:bookmarkEnd w:id="37"/>
      <w:bookmarkEnd w:id="38"/>
      <w:bookmarkEnd w:id="39"/>
      <w:bookmarkEnd w:id="40"/>
    </w:p>
    <w:p w:rsidR="00C47CD0" w:rsidRDefault="00081AE9">
      <w:pPr>
        <w:ind w:firstLineChars="200" w:firstLine="640"/>
        <w:rPr>
          <w:rFonts w:ascii="仿宋_GB2312" w:eastAsia="仿宋_GB2312"/>
          <w:sz w:val="32"/>
          <w:szCs w:val="32"/>
        </w:rPr>
      </w:pPr>
      <w:r>
        <w:rPr>
          <w:rFonts w:ascii="仿宋_GB2312" w:eastAsia="仿宋_GB2312"/>
          <w:sz w:val="32"/>
          <w:szCs w:val="32"/>
        </w:rPr>
        <w:t>201</w:t>
      </w:r>
      <w:r>
        <w:rPr>
          <w:rFonts w:ascii="仿宋_GB2312" w:eastAsia="仿宋_GB2312" w:hint="eastAsia"/>
          <w:sz w:val="32"/>
          <w:szCs w:val="32"/>
        </w:rPr>
        <w:t>5</w:t>
      </w:r>
      <w:r>
        <w:rPr>
          <w:rFonts w:ascii="仿宋_GB2312" w:eastAsia="仿宋_GB2312"/>
          <w:sz w:val="32"/>
          <w:szCs w:val="32"/>
        </w:rPr>
        <w:t>年我校在全国</w:t>
      </w:r>
      <w:r>
        <w:rPr>
          <w:rFonts w:ascii="仿宋_GB2312" w:eastAsia="仿宋_GB2312" w:hint="eastAsia"/>
          <w:sz w:val="32"/>
          <w:szCs w:val="32"/>
        </w:rPr>
        <w:t>29</w:t>
      </w:r>
      <w:r>
        <w:rPr>
          <w:rFonts w:ascii="仿宋_GB2312" w:eastAsia="仿宋_GB2312"/>
          <w:sz w:val="32"/>
          <w:szCs w:val="32"/>
        </w:rPr>
        <w:t>个省（自治区、直辖市）招生，共计招收本、专科生</w:t>
      </w:r>
      <w:r>
        <w:rPr>
          <w:rFonts w:ascii="仿宋_GB2312" w:eastAsia="仿宋_GB2312" w:hint="eastAsia"/>
          <w:sz w:val="32"/>
          <w:szCs w:val="32"/>
        </w:rPr>
        <w:t>3812</w:t>
      </w:r>
      <w:r>
        <w:rPr>
          <w:rFonts w:ascii="仿宋_GB2312" w:eastAsia="仿宋_GB2312"/>
          <w:sz w:val="32"/>
          <w:szCs w:val="32"/>
        </w:rPr>
        <w:t>人，报到</w:t>
      </w:r>
      <w:r>
        <w:rPr>
          <w:rFonts w:ascii="仿宋_GB2312" w:eastAsia="仿宋_GB2312" w:hint="eastAsia"/>
          <w:sz w:val="32"/>
          <w:szCs w:val="32"/>
        </w:rPr>
        <w:t>3688</w:t>
      </w:r>
      <w:r>
        <w:rPr>
          <w:rFonts w:ascii="仿宋_GB2312" w:eastAsia="仿宋_GB2312"/>
          <w:sz w:val="32"/>
          <w:szCs w:val="32"/>
        </w:rPr>
        <w:t>人，报到率96</w:t>
      </w:r>
      <w:r>
        <w:rPr>
          <w:rFonts w:ascii="仿宋_GB2312" w:eastAsia="仿宋_GB2312" w:hint="eastAsia"/>
          <w:sz w:val="32"/>
          <w:szCs w:val="32"/>
        </w:rPr>
        <w:t>.74</w:t>
      </w:r>
      <w:r>
        <w:rPr>
          <w:rFonts w:ascii="仿宋_GB2312" w:eastAsia="仿宋_GB2312"/>
          <w:sz w:val="32"/>
          <w:szCs w:val="32"/>
        </w:rPr>
        <w:t>%。</w:t>
      </w:r>
      <w:r>
        <w:rPr>
          <w:rFonts w:ascii="仿宋_GB2312" w:eastAsia="仿宋_GB2312" w:hint="eastAsia"/>
          <w:sz w:val="32"/>
          <w:szCs w:val="32"/>
        </w:rPr>
        <w:t>各语种统招计划最低投档线与自治区控制分数线线差统计表详见表2。</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性别比例：男生占48.</w:t>
      </w:r>
      <w:r>
        <w:rPr>
          <w:rFonts w:ascii="仿宋_GB2312" w:eastAsia="仿宋_GB2312"/>
          <w:sz w:val="32"/>
          <w:szCs w:val="32"/>
        </w:rPr>
        <w:t>5</w:t>
      </w:r>
      <w:r>
        <w:rPr>
          <w:rFonts w:ascii="仿宋_GB2312" w:eastAsia="仿宋_GB2312" w:hint="eastAsia"/>
          <w:sz w:val="32"/>
          <w:szCs w:val="32"/>
        </w:rPr>
        <w:t>%，女生占51.</w:t>
      </w:r>
      <w:r>
        <w:rPr>
          <w:rFonts w:ascii="仿宋_GB2312" w:eastAsia="仿宋_GB2312"/>
          <w:sz w:val="32"/>
          <w:szCs w:val="32"/>
        </w:rPr>
        <w:t>5</w:t>
      </w:r>
      <w:r>
        <w:rPr>
          <w:rFonts w:ascii="仿宋_GB2312" w:eastAsia="仿宋_GB2312" w:hint="eastAsia"/>
          <w:sz w:val="32"/>
          <w:szCs w:val="32"/>
        </w:rPr>
        <w:t>%；民族比例：汉族占51.25%，少数民族占</w:t>
      </w:r>
      <w:r>
        <w:rPr>
          <w:rFonts w:ascii="仿宋_GB2312" w:eastAsia="仿宋_GB2312"/>
          <w:sz w:val="32"/>
          <w:szCs w:val="32"/>
        </w:rPr>
        <w:t>48</w:t>
      </w:r>
      <w:r>
        <w:rPr>
          <w:rFonts w:ascii="仿宋_GB2312" w:eastAsia="仿宋_GB2312" w:hint="eastAsia"/>
          <w:sz w:val="32"/>
          <w:szCs w:val="32"/>
        </w:rPr>
        <w:t>.</w:t>
      </w:r>
      <w:r>
        <w:rPr>
          <w:rFonts w:ascii="仿宋_GB2312" w:eastAsia="仿宋_GB2312"/>
          <w:sz w:val="32"/>
          <w:szCs w:val="32"/>
        </w:rPr>
        <w:t>75</w:t>
      </w:r>
      <w:r>
        <w:rPr>
          <w:rFonts w:ascii="仿宋_GB2312" w:eastAsia="仿宋_GB2312" w:hint="eastAsia"/>
          <w:sz w:val="32"/>
          <w:szCs w:val="32"/>
        </w:rPr>
        <w:t>%。详见图1、2。</w:t>
      </w:r>
    </w:p>
    <w:p w:rsidR="00C47CD0" w:rsidRDefault="00081AE9">
      <w:pPr>
        <w:jc w:val="center"/>
        <w:rPr>
          <w:rFonts w:ascii="仿宋_GB2312" w:eastAsia="仿宋_GB2312"/>
          <w:sz w:val="32"/>
          <w:szCs w:val="32"/>
        </w:rPr>
      </w:pPr>
      <w:r>
        <w:rPr>
          <w:rFonts w:ascii="宋体" w:hAnsi="宋体" w:hint="eastAsia"/>
          <w:sz w:val="28"/>
          <w:szCs w:val="28"/>
        </w:rPr>
        <w:t>表2</w:t>
      </w:r>
      <w:r>
        <w:rPr>
          <w:rFonts w:ascii="宋体" w:hAnsi="宋体"/>
          <w:sz w:val="28"/>
          <w:szCs w:val="28"/>
        </w:rPr>
        <w:t xml:space="preserve">  </w:t>
      </w:r>
      <w:r>
        <w:rPr>
          <w:rFonts w:ascii="宋体" w:hAnsi="宋体" w:hint="eastAsia"/>
          <w:b/>
          <w:sz w:val="28"/>
          <w:szCs w:val="28"/>
        </w:rPr>
        <w:t>各语种统招计划最低投档线与自治区控制分数线线差统计表</w:t>
      </w:r>
    </w:p>
    <w:tbl>
      <w:tblPr>
        <w:tblW w:w="85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301"/>
        <w:gridCol w:w="1825"/>
        <w:gridCol w:w="2131"/>
        <w:gridCol w:w="1265"/>
      </w:tblGrid>
      <w:tr w:rsidR="00C47CD0">
        <w:trPr>
          <w:trHeight w:val="397"/>
          <w:tblHeader/>
        </w:trPr>
        <w:tc>
          <w:tcPr>
            <w:tcW w:w="3301" w:type="dxa"/>
            <w:tcBorders>
              <w:bottom w:val="single" w:sz="4" w:space="0" w:color="auto"/>
            </w:tcBorders>
            <w:shd w:val="clear" w:color="auto" w:fill="auto"/>
            <w:vAlign w:val="bottom"/>
          </w:tcPr>
          <w:p w:rsidR="00C47CD0" w:rsidRDefault="00081AE9">
            <w:pPr>
              <w:widowControl/>
              <w:jc w:val="center"/>
              <w:rPr>
                <w:rFonts w:ascii="宋体" w:hAnsi="宋体"/>
                <w:szCs w:val="21"/>
              </w:rPr>
            </w:pPr>
            <w:r>
              <w:rPr>
                <w:rFonts w:ascii="宋体" w:hAnsi="宋体" w:hint="eastAsia"/>
                <w:szCs w:val="21"/>
              </w:rPr>
              <w:t>批次</w:t>
            </w:r>
          </w:p>
        </w:tc>
        <w:tc>
          <w:tcPr>
            <w:tcW w:w="1825" w:type="dxa"/>
            <w:tcBorders>
              <w:bottom w:val="single" w:sz="4" w:space="0" w:color="auto"/>
            </w:tcBorders>
            <w:shd w:val="clear" w:color="auto" w:fill="auto"/>
            <w:vAlign w:val="bottom"/>
          </w:tcPr>
          <w:p w:rsidR="00C47CD0" w:rsidRDefault="00081AE9">
            <w:pPr>
              <w:widowControl/>
              <w:jc w:val="center"/>
              <w:rPr>
                <w:rFonts w:ascii="宋体" w:hAnsi="宋体"/>
                <w:szCs w:val="21"/>
              </w:rPr>
            </w:pPr>
            <w:r>
              <w:rPr>
                <w:rFonts w:ascii="宋体" w:hAnsi="宋体" w:hint="eastAsia"/>
                <w:szCs w:val="21"/>
              </w:rPr>
              <w:t>自治区控制线</w:t>
            </w:r>
          </w:p>
        </w:tc>
        <w:tc>
          <w:tcPr>
            <w:tcW w:w="2131" w:type="dxa"/>
            <w:tcBorders>
              <w:bottom w:val="single" w:sz="4" w:space="0" w:color="auto"/>
            </w:tcBorders>
            <w:shd w:val="clear" w:color="auto" w:fill="auto"/>
            <w:vAlign w:val="bottom"/>
          </w:tcPr>
          <w:p w:rsidR="00C47CD0" w:rsidRDefault="00081AE9">
            <w:pPr>
              <w:widowControl/>
              <w:jc w:val="center"/>
              <w:rPr>
                <w:rFonts w:ascii="宋体" w:hAnsi="宋体"/>
                <w:szCs w:val="21"/>
              </w:rPr>
            </w:pPr>
            <w:r>
              <w:rPr>
                <w:rFonts w:ascii="宋体" w:hAnsi="宋体" w:hint="eastAsia"/>
                <w:szCs w:val="21"/>
              </w:rPr>
              <w:t>我校最低投档线</w:t>
            </w:r>
          </w:p>
        </w:tc>
        <w:tc>
          <w:tcPr>
            <w:tcW w:w="1265" w:type="dxa"/>
            <w:tcBorders>
              <w:bottom w:val="single" w:sz="4" w:space="0" w:color="auto"/>
            </w:tcBorders>
            <w:shd w:val="clear" w:color="auto" w:fill="auto"/>
            <w:vAlign w:val="bottom"/>
          </w:tcPr>
          <w:p w:rsidR="00C47CD0" w:rsidRDefault="00081AE9">
            <w:pPr>
              <w:widowControl/>
              <w:jc w:val="center"/>
              <w:rPr>
                <w:rFonts w:ascii="宋体" w:hAnsi="宋体"/>
                <w:szCs w:val="21"/>
              </w:rPr>
            </w:pPr>
            <w:r>
              <w:rPr>
                <w:rFonts w:ascii="宋体" w:hAnsi="宋体" w:hint="eastAsia"/>
                <w:szCs w:val="21"/>
              </w:rPr>
              <w:t>线差</w:t>
            </w:r>
          </w:p>
        </w:tc>
      </w:tr>
      <w:tr w:rsidR="00C47CD0">
        <w:trPr>
          <w:trHeight w:val="397"/>
        </w:trPr>
        <w:tc>
          <w:tcPr>
            <w:tcW w:w="3301" w:type="dxa"/>
            <w:tcBorders>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汉语言理工类本科一批次</w:t>
            </w:r>
          </w:p>
        </w:tc>
        <w:tc>
          <w:tcPr>
            <w:tcW w:w="1825" w:type="dxa"/>
            <w:tcBorders>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446</w:t>
            </w:r>
          </w:p>
        </w:tc>
        <w:tc>
          <w:tcPr>
            <w:tcW w:w="2131" w:type="dxa"/>
            <w:tcBorders>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419</w:t>
            </w:r>
          </w:p>
        </w:tc>
        <w:tc>
          <w:tcPr>
            <w:tcW w:w="1265" w:type="dxa"/>
            <w:tcBorders>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-27</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民语言理工类本科一批次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334</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335</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1</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汉语言文史类本科二批次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414</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444</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30</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汉语言理工类本科二批次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381</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403</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22</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民语言文史类本科二批次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394</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412</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18</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民语言理工类本科二批次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304</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320</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16</w:t>
            </w:r>
          </w:p>
        </w:tc>
      </w:tr>
      <w:tr w:rsidR="00C47CD0">
        <w:trPr>
          <w:trHeight w:val="397"/>
        </w:trPr>
        <w:tc>
          <w:tcPr>
            <w:tcW w:w="3301" w:type="dxa"/>
            <w:tcBorders>
              <w:top w:val="nil"/>
              <w:bottom w:val="single" w:sz="4" w:space="0" w:color="auto"/>
            </w:tcBorders>
            <w:shd w:val="clear" w:color="auto" w:fill="auto"/>
            <w:vAlign w:val="bottom"/>
          </w:tcPr>
          <w:p w:rsidR="00C47CD0" w:rsidRDefault="00081AE9">
            <w:pPr>
              <w:jc w:val="center"/>
              <w:rPr>
                <w:rFonts w:ascii="宋体" w:hAnsi="宋体"/>
                <w:szCs w:val="21"/>
              </w:rPr>
            </w:pPr>
            <w:r>
              <w:rPr>
                <w:rFonts w:ascii="宋体" w:hAnsi="宋体" w:hint="eastAsia"/>
                <w:szCs w:val="21"/>
              </w:rPr>
              <w:t>双语班文史类本科二批次</w:t>
            </w:r>
          </w:p>
        </w:tc>
        <w:tc>
          <w:tcPr>
            <w:tcW w:w="1825" w:type="dxa"/>
            <w:tcBorders>
              <w:top w:val="nil"/>
              <w:bottom w:val="single" w:sz="4" w:space="0" w:color="auto"/>
            </w:tcBorders>
            <w:shd w:val="clear" w:color="auto" w:fill="auto"/>
            <w:vAlign w:val="bottom"/>
          </w:tcPr>
          <w:p w:rsidR="00C47CD0" w:rsidRDefault="00081AE9">
            <w:pPr>
              <w:jc w:val="center"/>
              <w:rPr>
                <w:rFonts w:ascii="宋体" w:hAnsi="宋体"/>
                <w:szCs w:val="21"/>
              </w:rPr>
            </w:pPr>
            <w:r>
              <w:rPr>
                <w:rFonts w:ascii="宋体" w:hAnsi="宋体" w:hint="eastAsia"/>
                <w:szCs w:val="21"/>
              </w:rPr>
              <w:t>334</w:t>
            </w:r>
          </w:p>
        </w:tc>
        <w:tc>
          <w:tcPr>
            <w:tcW w:w="2131" w:type="dxa"/>
            <w:tcBorders>
              <w:top w:val="nil"/>
              <w:bottom w:val="single" w:sz="4" w:space="0" w:color="auto"/>
            </w:tcBorders>
            <w:shd w:val="clear" w:color="auto" w:fill="auto"/>
            <w:vAlign w:val="bottom"/>
          </w:tcPr>
          <w:p w:rsidR="00C47CD0" w:rsidRDefault="00081AE9">
            <w:pPr>
              <w:jc w:val="center"/>
              <w:rPr>
                <w:rFonts w:ascii="宋体" w:hAnsi="宋体"/>
                <w:szCs w:val="21"/>
              </w:rPr>
            </w:pPr>
            <w:r>
              <w:rPr>
                <w:rFonts w:ascii="宋体" w:hAnsi="宋体" w:hint="eastAsia"/>
                <w:szCs w:val="21"/>
              </w:rPr>
              <w:t>368</w:t>
            </w:r>
          </w:p>
        </w:tc>
        <w:tc>
          <w:tcPr>
            <w:tcW w:w="1265" w:type="dxa"/>
            <w:tcBorders>
              <w:top w:val="nil"/>
              <w:bottom w:val="single" w:sz="4" w:space="0" w:color="auto"/>
            </w:tcBorders>
            <w:shd w:val="clear" w:color="auto" w:fill="auto"/>
            <w:vAlign w:val="bottom"/>
          </w:tcPr>
          <w:p w:rsidR="00C47CD0" w:rsidRDefault="00081AE9">
            <w:pPr>
              <w:jc w:val="center"/>
              <w:rPr>
                <w:rFonts w:ascii="宋体" w:hAnsi="宋体"/>
                <w:szCs w:val="21"/>
              </w:rPr>
            </w:pPr>
            <w:r>
              <w:rPr>
                <w:rFonts w:ascii="宋体" w:hAnsi="宋体" w:hint="eastAsia"/>
                <w:szCs w:val="21"/>
              </w:rPr>
              <w:t>34</w:t>
            </w:r>
          </w:p>
        </w:tc>
      </w:tr>
      <w:tr w:rsidR="00C47CD0">
        <w:trPr>
          <w:trHeight w:val="397"/>
        </w:trPr>
        <w:tc>
          <w:tcPr>
            <w:tcW w:w="3301" w:type="dxa"/>
            <w:tcBorders>
              <w:top w:val="single" w:sz="4" w:space="0" w:color="auto"/>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lastRenderedPageBreak/>
              <w:t>双语班理工类本科二批次</w:t>
            </w:r>
          </w:p>
        </w:tc>
        <w:tc>
          <w:tcPr>
            <w:tcW w:w="1825" w:type="dxa"/>
            <w:tcBorders>
              <w:top w:val="single" w:sz="4" w:space="0" w:color="auto"/>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389</w:t>
            </w:r>
          </w:p>
        </w:tc>
        <w:tc>
          <w:tcPr>
            <w:tcW w:w="2131" w:type="dxa"/>
            <w:tcBorders>
              <w:top w:val="single" w:sz="4" w:space="0" w:color="auto"/>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402</w:t>
            </w:r>
          </w:p>
        </w:tc>
        <w:tc>
          <w:tcPr>
            <w:tcW w:w="1265" w:type="dxa"/>
            <w:tcBorders>
              <w:top w:val="single" w:sz="4" w:space="0" w:color="auto"/>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13</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民考汉文史类本科二批次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314</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378</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64</w:t>
            </w:r>
          </w:p>
        </w:tc>
      </w:tr>
      <w:tr w:rsidR="00C47CD0">
        <w:trPr>
          <w:trHeight w:val="397"/>
        </w:trPr>
        <w:tc>
          <w:tcPr>
            <w:tcW w:w="330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民考汉理工类本科二批次</w:t>
            </w:r>
          </w:p>
        </w:tc>
        <w:tc>
          <w:tcPr>
            <w:tcW w:w="182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330</w:t>
            </w:r>
          </w:p>
        </w:tc>
        <w:tc>
          <w:tcPr>
            <w:tcW w:w="2131"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350</w:t>
            </w:r>
          </w:p>
        </w:tc>
        <w:tc>
          <w:tcPr>
            <w:tcW w:w="1265" w:type="dxa"/>
            <w:tcBorders>
              <w:top w:val="nil"/>
              <w:bottom w:val="nil"/>
            </w:tcBorders>
            <w:shd w:val="clear" w:color="auto" w:fill="auto"/>
            <w:vAlign w:val="bottom"/>
          </w:tcPr>
          <w:p w:rsidR="00C47CD0" w:rsidRDefault="00081AE9">
            <w:pPr>
              <w:jc w:val="center"/>
              <w:rPr>
                <w:rFonts w:ascii="宋体" w:hAnsi="宋体"/>
                <w:szCs w:val="21"/>
              </w:rPr>
            </w:pPr>
            <w:r>
              <w:rPr>
                <w:rFonts w:ascii="宋体" w:hAnsi="宋体" w:hint="eastAsia"/>
                <w:szCs w:val="21"/>
              </w:rPr>
              <w:t>20</w:t>
            </w:r>
          </w:p>
        </w:tc>
      </w:tr>
      <w:tr w:rsidR="00C47CD0">
        <w:trPr>
          <w:trHeight w:val="397"/>
        </w:trPr>
        <w:tc>
          <w:tcPr>
            <w:tcW w:w="3301" w:type="dxa"/>
            <w:tcBorders>
              <w:top w:val="nil"/>
            </w:tcBorders>
            <w:shd w:val="clear" w:color="auto" w:fill="auto"/>
            <w:vAlign w:val="bottom"/>
          </w:tcPr>
          <w:p w:rsidR="00C47CD0" w:rsidRDefault="00081AE9">
            <w:pPr>
              <w:jc w:val="center"/>
              <w:rPr>
                <w:rFonts w:ascii="宋体" w:hAnsi="宋体"/>
                <w:szCs w:val="21"/>
              </w:rPr>
            </w:pPr>
            <w:r>
              <w:rPr>
                <w:rFonts w:ascii="宋体" w:hAnsi="宋体" w:hint="eastAsia"/>
                <w:szCs w:val="21"/>
              </w:rPr>
              <w:t>汉语言理工类专科一批次</w:t>
            </w:r>
          </w:p>
        </w:tc>
        <w:tc>
          <w:tcPr>
            <w:tcW w:w="1825" w:type="dxa"/>
            <w:tcBorders>
              <w:top w:val="nil"/>
            </w:tcBorders>
            <w:shd w:val="clear" w:color="auto" w:fill="auto"/>
            <w:vAlign w:val="bottom"/>
          </w:tcPr>
          <w:p w:rsidR="00C47CD0" w:rsidRDefault="00081AE9">
            <w:pPr>
              <w:jc w:val="center"/>
              <w:rPr>
                <w:rFonts w:ascii="宋体" w:hAnsi="宋体"/>
                <w:szCs w:val="21"/>
              </w:rPr>
            </w:pPr>
            <w:r>
              <w:rPr>
                <w:rFonts w:ascii="宋体" w:hAnsi="宋体" w:hint="eastAsia"/>
                <w:szCs w:val="21"/>
              </w:rPr>
              <w:t>265</w:t>
            </w:r>
          </w:p>
        </w:tc>
        <w:tc>
          <w:tcPr>
            <w:tcW w:w="2131" w:type="dxa"/>
            <w:tcBorders>
              <w:top w:val="nil"/>
            </w:tcBorders>
            <w:shd w:val="clear" w:color="auto" w:fill="auto"/>
            <w:vAlign w:val="bottom"/>
          </w:tcPr>
          <w:p w:rsidR="00C47CD0" w:rsidRDefault="00081AE9">
            <w:pPr>
              <w:jc w:val="center"/>
              <w:rPr>
                <w:rFonts w:ascii="宋体" w:hAnsi="宋体"/>
                <w:szCs w:val="21"/>
              </w:rPr>
            </w:pPr>
            <w:r>
              <w:rPr>
                <w:rFonts w:ascii="宋体" w:hAnsi="宋体" w:hint="eastAsia"/>
                <w:szCs w:val="21"/>
              </w:rPr>
              <w:t>327</w:t>
            </w:r>
          </w:p>
        </w:tc>
        <w:tc>
          <w:tcPr>
            <w:tcW w:w="1265" w:type="dxa"/>
            <w:tcBorders>
              <w:top w:val="nil"/>
            </w:tcBorders>
            <w:shd w:val="clear" w:color="auto" w:fill="auto"/>
            <w:vAlign w:val="bottom"/>
          </w:tcPr>
          <w:p w:rsidR="00C47CD0" w:rsidRDefault="00081AE9">
            <w:pPr>
              <w:jc w:val="center"/>
              <w:rPr>
                <w:rFonts w:ascii="宋体" w:hAnsi="宋体"/>
                <w:szCs w:val="21"/>
              </w:rPr>
            </w:pPr>
            <w:r>
              <w:rPr>
                <w:rFonts w:ascii="宋体" w:hAnsi="宋体" w:hint="eastAsia"/>
                <w:szCs w:val="21"/>
              </w:rPr>
              <w:t>62</w:t>
            </w:r>
          </w:p>
        </w:tc>
      </w:tr>
    </w:tbl>
    <w:p w:rsidR="00C47CD0" w:rsidRDefault="00C47CD0">
      <w:pPr>
        <w:rPr>
          <w:rFonts w:ascii="仿宋" w:eastAsia="仿宋" w:hAnsi="仿宋"/>
          <w:b/>
          <w:sz w:val="30"/>
          <w:szCs w:val="30"/>
        </w:rPr>
      </w:pPr>
    </w:p>
    <w:p w:rsidR="00C47CD0" w:rsidRDefault="00081AE9">
      <w:pPr>
        <w:jc w:val="center"/>
        <w:rPr>
          <w:rFonts w:ascii="仿宋" w:eastAsia="仿宋" w:hAnsi="仿宋"/>
          <w:b/>
          <w:sz w:val="30"/>
          <w:szCs w:val="30"/>
        </w:rPr>
      </w:pPr>
      <w:r>
        <w:rPr>
          <w:rFonts w:ascii="仿宋" w:eastAsia="仿宋" w:hAnsi="仿宋" w:hint="eastAsia"/>
          <w:b/>
          <w:noProof/>
          <w:sz w:val="30"/>
          <w:szCs w:val="30"/>
        </w:rPr>
        <w:drawing>
          <wp:inline distT="0" distB="0" distL="0" distR="0">
            <wp:extent cx="5252720" cy="2256790"/>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7CD0" w:rsidRDefault="00081AE9">
      <w:pPr>
        <w:jc w:val="center"/>
        <w:rPr>
          <w:rFonts w:ascii="宋体" w:hAnsi="宋体"/>
          <w:sz w:val="30"/>
          <w:szCs w:val="30"/>
        </w:rPr>
      </w:pPr>
      <w:r>
        <w:rPr>
          <w:rFonts w:ascii="宋体" w:hAnsi="宋体" w:hint="eastAsia"/>
          <w:sz w:val="30"/>
          <w:szCs w:val="30"/>
        </w:rPr>
        <w:t>图1  性别</w:t>
      </w:r>
      <w:r>
        <w:rPr>
          <w:rFonts w:ascii="宋体" w:hAnsi="宋体"/>
          <w:sz w:val="30"/>
          <w:szCs w:val="30"/>
        </w:rPr>
        <w:t>比例</w:t>
      </w:r>
    </w:p>
    <w:p w:rsidR="00C47CD0" w:rsidRDefault="00081AE9">
      <w:pPr>
        <w:jc w:val="center"/>
        <w:rPr>
          <w:rFonts w:ascii="仿宋" w:eastAsia="仿宋" w:hAnsi="仿宋"/>
          <w:b/>
          <w:sz w:val="30"/>
          <w:szCs w:val="30"/>
        </w:rPr>
      </w:pPr>
      <w:r>
        <w:rPr>
          <w:rFonts w:ascii="仿宋" w:eastAsia="仿宋" w:hAnsi="仿宋" w:hint="eastAsia"/>
          <w:b/>
          <w:noProof/>
          <w:sz w:val="30"/>
          <w:szCs w:val="30"/>
        </w:rPr>
        <w:drawing>
          <wp:inline distT="0" distB="0" distL="0" distR="0">
            <wp:extent cx="5320665" cy="210058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7CD0" w:rsidRDefault="00081AE9">
      <w:pPr>
        <w:jc w:val="center"/>
        <w:rPr>
          <w:rFonts w:ascii="宋体" w:hAnsi="宋体"/>
          <w:sz w:val="30"/>
          <w:szCs w:val="30"/>
        </w:rPr>
      </w:pPr>
      <w:r>
        <w:rPr>
          <w:rFonts w:ascii="宋体" w:hAnsi="宋体" w:hint="eastAsia"/>
          <w:sz w:val="30"/>
          <w:szCs w:val="30"/>
        </w:rPr>
        <w:t>图2  族别</w:t>
      </w:r>
      <w:r>
        <w:rPr>
          <w:rFonts w:ascii="宋体" w:hAnsi="宋体"/>
          <w:sz w:val="30"/>
          <w:szCs w:val="30"/>
        </w:rPr>
        <w:t>比例</w:t>
      </w:r>
    </w:p>
    <w:p w:rsidR="00C47CD0" w:rsidRDefault="00081AE9">
      <w:pPr>
        <w:pStyle w:val="1"/>
        <w:jc w:val="center"/>
      </w:pPr>
      <w:r>
        <w:br w:type="page"/>
      </w:r>
      <w:bookmarkStart w:id="41" w:name="_Toc435713873"/>
      <w:r>
        <w:rPr>
          <w:rFonts w:hint="eastAsia"/>
        </w:rPr>
        <w:lastRenderedPageBreak/>
        <w:t>三、师资与教学条件</w:t>
      </w:r>
      <w:bookmarkEnd w:id="41"/>
    </w:p>
    <w:p w:rsidR="00C47CD0" w:rsidRDefault="00081AE9">
      <w:pPr>
        <w:ind w:firstLineChars="200" w:firstLine="640"/>
        <w:rPr>
          <w:rFonts w:ascii="仿宋_GB2312" w:eastAsia="仿宋_GB2312"/>
          <w:sz w:val="32"/>
          <w:szCs w:val="32"/>
        </w:rPr>
      </w:pPr>
      <w:r w:rsidRPr="004B40FB">
        <w:rPr>
          <w:rFonts w:ascii="仿宋_GB2312" w:eastAsia="仿宋_GB2312" w:hint="eastAsia"/>
          <w:sz w:val="32"/>
          <w:szCs w:val="32"/>
        </w:rPr>
        <w:t>截止201</w:t>
      </w:r>
      <w:r w:rsidRPr="004B40FB">
        <w:rPr>
          <w:rFonts w:ascii="仿宋_GB2312" w:eastAsia="仿宋_GB2312"/>
          <w:sz w:val="32"/>
          <w:szCs w:val="32"/>
        </w:rPr>
        <w:t>6</w:t>
      </w:r>
      <w:r w:rsidRPr="004B40FB">
        <w:rPr>
          <w:rFonts w:ascii="仿宋_GB2312" w:eastAsia="仿宋_GB2312" w:hint="eastAsia"/>
          <w:sz w:val="32"/>
          <w:szCs w:val="32"/>
        </w:rPr>
        <w:t>年9月，学校有专任教师9</w:t>
      </w:r>
      <w:r w:rsidRPr="004B40FB">
        <w:rPr>
          <w:rFonts w:ascii="仿宋_GB2312" w:eastAsia="仿宋_GB2312"/>
          <w:sz w:val="32"/>
          <w:szCs w:val="32"/>
        </w:rPr>
        <w:t>9</w:t>
      </w:r>
      <w:r w:rsidRPr="004B40FB">
        <w:rPr>
          <w:rFonts w:ascii="仿宋_GB2312" w:eastAsia="仿宋_GB2312" w:hint="eastAsia"/>
          <w:sz w:val="32"/>
          <w:szCs w:val="32"/>
        </w:rPr>
        <w:t>5人，外聘教师</w:t>
      </w:r>
      <w:r w:rsidR="00C82A9A" w:rsidRPr="004B40FB">
        <w:rPr>
          <w:rFonts w:ascii="仿宋_GB2312" w:eastAsia="仿宋_GB2312"/>
          <w:sz w:val="32"/>
          <w:szCs w:val="32"/>
        </w:rPr>
        <w:t>124</w:t>
      </w:r>
      <w:r w:rsidRPr="004B40FB">
        <w:rPr>
          <w:rFonts w:ascii="仿宋_GB2312" w:eastAsia="仿宋_GB2312" w:hint="eastAsia"/>
          <w:sz w:val="32"/>
          <w:szCs w:val="32"/>
        </w:rPr>
        <w:t>人，生师比为</w:t>
      </w:r>
      <w:r w:rsidR="00BC7BE0" w:rsidRPr="004B40FB">
        <w:rPr>
          <w:rFonts w:ascii="仿宋_GB2312" w:eastAsia="仿宋_GB2312"/>
          <w:sz w:val="32"/>
          <w:szCs w:val="32"/>
        </w:rPr>
        <w:t>18.08</w:t>
      </w:r>
      <w:r w:rsidRPr="004B40FB">
        <w:rPr>
          <w:rFonts w:ascii="仿宋_GB2312" w:eastAsia="仿宋_GB2312" w:hint="eastAsia"/>
          <w:sz w:val="32"/>
          <w:szCs w:val="32"/>
        </w:rPr>
        <w:t>。</w:t>
      </w: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年，投入本科教学日常运行经费3083.06万元。其中本科专项教学经费1192.99万元。</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新增教学科研仪器设备</w:t>
      </w:r>
      <w:r w:rsidR="00D142A0">
        <w:rPr>
          <w:rFonts w:ascii="仿宋_GB2312" w:eastAsia="仿宋_GB2312"/>
          <w:sz w:val="32"/>
          <w:szCs w:val="32"/>
        </w:rPr>
        <w:t>1742.96</w:t>
      </w:r>
      <w:r>
        <w:rPr>
          <w:rFonts w:ascii="仿宋_GB2312" w:eastAsia="仿宋_GB2312" w:hint="eastAsia"/>
          <w:sz w:val="32"/>
          <w:szCs w:val="32"/>
        </w:rPr>
        <w:t>万元。图书馆现有印刷本藏书</w:t>
      </w:r>
      <w:r w:rsidR="00EC356C" w:rsidRPr="00EC356C">
        <w:rPr>
          <w:rFonts w:ascii="仿宋_GB2312" w:eastAsia="仿宋_GB2312" w:hAnsi="Calibri"/>
          <w:sz w:val="32"/>
          <w:szCs w:val="32"/>
        </w:rPr>
        <w:t>119.0454</w:t>
      </w:r>
      <w:r>
        <w:rPr>
          <w:rFonts w:ascii="仿宋_GB2312" w:eastAsia="仿宋_GB2312" w:hint="eastAsia"/>
          <w:sz w:val="32"/>
          <w:szCs w:val="32"/>
        </w:rPr>
        <w:t>万册，拥有中文网络数据库1</w:t>
      </w:r>
      <w:r>
        <w:rPr>
          <w:rFonts w:ascii="仿宋_GB2312" w:eastAsia="仿宋_GB2312"/>
          <w:sz w:val="32"/>
          <w:szCs w:val="32"/>
        </w:rPr>
        <w:t>3</w:t>
      </w:r>
      <w:r>
        <w:rPr>
          <w:rFonts w:ascii="仿宋_GB2312" w:eastAsia="仿宋_GB2312" w:hint="eastAsia"/>
          <w:sz w:val="32"/>
          <w:szCs w:val="32"/>
        </w:rPr>
        <w:t>个，外文网络数据库7个。</w:t>
      </w:r>
    </w:p>
    <w:p w:rsidR="00C47CD0" w:rsidRDefault="00081AE9">
      <w:pPr>
        <w:ind w:firstLineChars="196" w:firstLine="627"/>
        <w:rPr>
          <w:rFonts w:ascii="仿宋_GB2312" w:eastAsia="仿宋_GB2312" w:hAnsi="Calibri"/>
          <w:sz w:val="32"/>
          <w:szCs w:val="32"/>
        </w:rPr>
      </w:pPr>
      <w:r>
        <w:rPr>
          <w:rFonts w:ascii="仿宋_GB2312" w:eastAsia="仿宋_GB2312" w:hAnsi="Calibri"/>
          <w:sz w:val="32"/>
          <w:szCs w:val="32"/>
        </w:rPr>
        <w:t>学校已建成</w:t>
      </w:r>
      <w:r>
        <w:rPr>
          <w:rFonts w:ascii="仿宋_GB2312" w:eastAsia="仿宋_GB2312" w:hAnsi="Calibri" w:hint="eastAsia"/>
          <w:sz w:val="32"/>
          <w:szCs w:val="32"/>
        </w:rPr>
        <w:t>15</w:t>
      </w:r>
      <w:r>
        <w:rPr>
          <w:rFonts w:ascii="仿宋_GB2312" w:eastAsia="仿宋_GB2312" w:hAnsi="Calibri"/>
          <w:sz w:val="32"/>
          <w:szCs w:val="32"/>
        </w:rPr>
        <w:t>个校级实验教学中心，国家级实验教学示范中心</w:t>
      </w:r>
      <w:r>
        <w:rPr>
          <w:rFonts w:ascii="仿宋_GB2312" w:eastAsia="仿宋_GB2312" w:hAnsi="Calibri" w:hint="eastAsia"/>
          <w:sz w:val="32"/>
          <w:szCs w:val="32"/>
        </w:rPr>
        <w:t>1</w:t>
      </w:r>
      <w:r>
        <w:rPr>
          <w:rFonts w:ascii="仿宋_GB2312" w:eastAsia="仿宋_GB2312" w:hAnsi="Calibri"/>
          <w:sz w:val="32"/>
          <w:szCs w:val="32"/>
        </w:rPr>
        <w:t>个，自治区级实验教学示范中心</w:t>
      </w:r>
      <w:r>
        <w:rPr>
          <w:rFonts w:ascii="仿宋_GB2312" w:eastAsia="仿宋_GB2312" w:hAnsi="Calibri" w:hint="eastAsia"/>
          <w:sz w:val="32"/>
          <w:szCs w:val="32"/>
        </w:rPr>
        <w:t>5</w:t>
      </w:r>
      <w:r>
        <w:rPr>
          <w:rFonts w:ascii="仿宋_GB2312" w:eastAsia="仿宋_GB2312" w:hAnsi="Calibri"/>
          <w:sz w:val="32"/>
          <w:szCs w:val="32"/>
        </w:rPr>
        <w:t>个，自治区级实验教学示范中心（建设单位）</w:t>
      </w:r>
      <w:r>
        <w:rPr>
          <w:rFonts w:ascii="仿宋_GB2312" w:eastAsia="仿宋_GB2312" w:hAnsi="Calibri" w:hint="eastAsia"/>
          <w:sz w:val="32"/>
          <w:szCs w:val="32"/>
        </w:rPr>
        <w:t>2</w:t>
      </w:r>
      <w:r>
        <w:rPr>
          <w:rFonts w:ascii="仿宋_GB2312" w:eastAsia="仿宋_GB2312" w:hAnsi="Calibri"/>
          <w:sz w:val="32"/>
          <w:szCs w:val="32"/>
        </w:rPr>
        <w:t>个。</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年年底，数字化校园建成了11个应用系统、4个基础支撑平台、9个集成项目和2个综合服务应用。实现了单点登录、统一身份认证，实现我校公共数据的同步。</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年教师教学发展中心以多种形式传播先进教学理念和教学方法，开展专题专项培训，提升教师教学能力，针对新进教师开设新进教师训练营，我校成为西北地区高校教师教学发展中心联盟常务理事单位。</w:t>
      </w:r>
    </w:p>
    <w:p w:rsidR="00C47CD0" w:rsidRDefault="00081AE9">
      <w:pPr>
        <w:ind w:firstLineChars="200" w:firstLine="640"/>
        <w:rPr>
          <w:rFonts w:ascii="仿宋_GB2312" w:eastAsia="仿宋_GB2312"/>
          <w:b/>
          <w:sz w:val="32"/>
          <w:szCs w:val="32"/>
        </w:rPr>
      </w:pPr>
      <w:r>
        <w:rPr>
          <w:rFonts w:ascii="仿宋_GB2312" w:eastAsia="仿宋_GB2312"/>
          <w:sz w:val="32"/>
          <w:szCs w:val="32"/>
        </w:rPr>
        <w:br w:type="page"/>
      </w:r>
      <w:bookmarkStart w:id="42" w:name="_Toc402374102"/>
      <w:bookmarkStart w:id="43" w:name="_Toc402443155"/>
      <w:bookmarkStart w:id="44" w:name="_Toc435713874"/>
      <w:bookmarkStart w:id="45" w:name="_Toc435713781"/>
      <w:bookmarkStart w:id="46" w:name="_Toc402443400"/>
      <w:r>
        <w:rPr>
          <w:rFonts w:ascii="仿宋_GB2312" w:eastAsia="仿宋_GB2312" w:hint="eastAsia"/>
          <w:b/>
          <w:sz w:val="32"/>
          <w:szCs w:val="32"/>
        </w:rPr>
        <w:lastRenderedPageBreak/>
        <w:t>（一）师资队伍建设情况</w:t>
      </w:r>
      <w:bookmarkEnd w:id="42"/>
      <w:bookmarkEnd w:id="43"/>
      <w:bookmarkEnd w:id="44"/>
      <w:bookmarkEnd w:id="45"/>
      <w:bookmarkEnd w:id="46"/>
    </w:p>
    <w:p w:rsidR="00C47CD0" w:rsidRDefault="00081AE9">
      <w:pPr>
        <w:ind w:firstLineChars="200" w:firstLine="640"/>
        <w:rPr>
          <w:rFonts w:ascii="仿宋_GB2312" w:eastAsia="仿宋_GB2312"/>
          <w:color w:val="FF0000"/>
          <w:sz w:val="32"/>
          <w:szCs w:val="32"/>
        </w:rPr>
      </w:pPr>
      <w:r>
        <w:rPr>
          <w:rFonts w:ascii="仿宋_GB2312" w:eastAsia="仿宋_GB2312" w:hint="eastAsia"/>
          <w:sz w:val="32"/>
          <w:szCs w:val="32"/>
        </w:rPr>
        <w:t>通过自身培养和外部引进，不断加强师资队伍建设，通过建立具有我校自身特色的竞争激励机制，促进师资队伍水平的整体提升，初步形成了一支水平较高的师资队伍。截止201</w:t>
      </w:r>
      <w:r>
        <w:rPr>
          <w:rFonts w:ascii="仿宋_GB2312" w:eastAsia="仿宋_GB2312"/>
          <w:sz w:val="32"/>
          <w:szCs w:val="32"/>
        </w:rPr>
        <w:t>6</w:t>
      </w:r>
      <w:r>
        <w:rPr>
          <w:rFonts w:ascii="仿宋_GB2312" w:eastAsia="仿宋_GB2312" w:hint="eastAsia"/>
          <w:sz w:val="32"/>
          <w:szCs w:val="32"/>
        </w:rPr>
        <w:t>年</w:t>
      </w:r>
      <w:r w:rsidRPr="00BF7EAA">
        <w:rPr>
          <w:rFonts w:ascii="仿宋_GB2312" w:eastAsia="仿宋_GB2312" w:hint="eastAsia"/>
          <w:sz w:val="32"/>
          <w:szCs w:val="32"/>
        </w:rPr>
        <w:t>9月，学校有专任教师995人，外聘教师</w:t>
      </w:r>
      <w:r w:rsidR="00D142A0" w:rsidRPr="00BF7EAA">
        <w:rPr>
          <w:rFonts w:ascii="仿宋_GB2312" w:eastAsia="仿宋_GB2312"/>
          <w:sz w:val="32"/>
          <w:szCs w:val="32"/>
        </w:rPr>
        <w:t>124</w:t>
      </w:r>
      <w:r w:rsidRPr="00BF7EAA">
        <w:rPr>
          <w:rFonts w:ascii="仿宋_GB2312" w:eastAsia="仿宋_GB2312" w:hint="eastAsia"/>
          <w:sz w:val="32"/>
          <w:szCs w:val="32"/>
        </w:rPr>
        <w:t>人，生师比为</w:t>
      </w:r>
      <w:r w:rsidR="00BC7BE0" w:rsidRPr="00BF7EAA">
        <w:rPr>
          <w:rFonts w:ascii="仿宋_GB2312" w:eastAsia="仿宋_GB2312"/>
          <w:sz w:val="32"/>
          <w:szCs w:val="32"/>
        </w:rPr>
        <w:t>18.08</w:t>
      </w:r>
      <w:r w:rsidRPr="00BF7EAA">
        <w:rPr>
          <w:rFonts w:ascii="仿宋_GB2312" w:eastAsia="仿宋_GB2312" w:hint="eastAsia"/>
          <w:sz w:val="32"/>
          <w:szCs w:val="32"/>
        </w:rPr>
        <w:t>：1。</w:t>
      </w: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年，1名教师获得自治区教学名师称号，2名教师获得自治区高校教学能手称号。</w:t>
      </w:r>
    </w:p>
    <w:p w:rsidR="00C47CD0" w:rsidRDefault="00081AE9">
      <w:pPr>
        <w:autoSpaceDE w:val="0"/>
        <w:autoSpaceDN w:val="0"/>
        <w:ind w:firstLineChars="200" w:firstLine="640"/>
        <w:jc w:val="left"/>
        <w:outlineLvl w:val="2"/>
        <w:rPr>
          <w:rFonts w:ascii="仿宋_GB2312" w:eastAsia="仿宋_GB2312"/>
          <w:sz w:val="32"/>
          <w:szCs w:val="32"/>
        </w:rPr>
      </w:pPr>
      <w:bookmarkStart w:id="47" w:name="_Toc435713875"/>
      <w:bookmarkStart w:id="48" w:name="_Toc435713782"/>
      <w:r>
        <w:rPr>
          <w:rFonts w:ascii="仿宋_GB2312" w:eastAsia="仿宋_GB2312"/>
          <w:sz w:val="32"/>
          <w:szCs w:val="32"/>
        </w:rPr>
        <w:t>1</w:t>
      </w:r>
      <w:r>
        <w:rPr>
          <w:rFonts w:ascii="仿宋_GB2312" w:eastAsia="仿宋_GB2312" w:hint="eastAsia"/>
          <w:sz w:val="32"/>
          <w:szCs w:val="32"/>
        </w:rPr>
        <w:t>、优化师资队伍结构</w:t>
      </w:r>
      <w:bookmarkEnd w:id="47"/>
      <w:bookmarkEnd w:id="48"/>
    </w:p>
    <w:p w:rsidR="00C47CD0" w:rsidRDefault="00081AE9">
      <w:pPr>
        <w:autoSpaceDE w:val="0"/>
        <w:autoSpaceDN w:val="0"/>
        <w:ind w:firstLineChars="200" w:firstLine="640"/>
        <w:jc w:val="left"/>
        <w:rPr>
          <w:rFonts w:ascii="仿宋_GB2312" w:eastAsia="仿宋_GB2312"/>
          <w:color w:val="FF0000"/>
          <w:sz w:val="32"/>
          <w:szCs w:val="32"/>
        </w:rPr>
      </w:pPr>
      <w:r>
        <w:rPr>
          <w:rFonts w:ascii="仿宋_GB2312" w:eastAsia="仿宋_GB2312" w:hint="eastAsia"/>
          <w:sz w:val="32"/>
          <w:szCs w:val="32"/>
        </w:rPr>
        <w:t>（</w:t>
      </w:r>
      <w:r>
        <w:rPr>
          <w:rFonts w:ascii="仿宋_GB2312" w:eastAsia="仿宋_GB2312"/>
          <w:sz w:val="32"/>
          <w:szCs w:val="32"/>
        </w:rPr>
        <w:t>1</w:t>
      </w:r>
      <w:r>
        <w:rPr>
          <w:rFonts w:ascii="仿宋_GB2312" w:eastAsia="仿宋_GB2312" w:hint="eastAsia"/>
          <w:sz w:val="32"/>
          <w:szCs w:val="32"/>
        </w:rPr>
        <w:t>）职称结构。教授116人，占专任教师的11.66％；副教授298人，占专任教师的29.95％；讲师</w:t>
      </w:r>
      <w:r>
        <w:rPr>
          <w:rFonts w:ascii="仿宋_GB2312" w:eastAsia="仿宋_GB2312"/>
          <w:sz w:val="32"/>
          <w:szCs w:val="32"/>
        </w:rPr>
        <w:t>3</w:t>
      </w:r>
      <w:r>
        <w:rPr>
          <w:rFonts w:ascii="仿宋_GB2312" w:eastAsia="仿宋_GB2312" w:hint="eastAsia"/>
          <w:sz w:val="32"/>
          <w:szCs w:val="32"/>
        </w:rPr>
        <w:t>97人，占专任教师的39.9％。主讲本科课程的教授占教授总人数的94.7%。201</w:t>
      </w:r>
      <w:r>
        <w:rPr>
          <w:rFonts w:ascii="仿宋_GB2312" w:eastAsia="仿宋_GB2312"/>
          <w:sz w:val="32"/>
          <w:szCs w:val="32"/>
        </w:rPr>
        <w:t>5</w:t>
      </w:r>
      <w:r>
        <w:rPr>
          <w:rFonts w:ascii="仿宋_GB2312" w:eastAsia="仿宋_GB2312" w:hint="eastAsia"/>
          <w:sz w:val="32"/>
          <w:szCs w:val="32"/>
        </w:rPr>
        <w:t>学年，全校开设课程2306门，其中有273门课程由教授授课，占总课程数的比例为</w:t>
      </w:r>
      <w:r>
        <w:rPr>
          <w:rFonts w:ascii="仿宋_GB2312" w:eastAsia="仿宋_GB2312"/>
          <w:sz w:val="32"/>
          <w:szCs w:val="32"/>
        </w:rPr>
        <w:t>11.8</w:t>
      </w:r>
      <w:r>
        <w:rPr>
          <w:rFonts w:ascii="仿宋_GB2312" w:eastAsia="仿宋_GB2312" w:hint="eastAsia"/>
          <w:sz w:val="32"/>
          <w:szCs w:val="32"/>
        </w:rPr>
        <w:t>%。</w:t>
      </w:r>
    </w:p>
    <w:p w:rsidR="00C47CD0" w:rsidRDefault="00081AE9">
      <w:pPr>
        <w:autoSpaceDE w:val="0"/>
        <w:autoSpaceDN w:val="0"/>
        <w:ind w:firstLineChars="200" w:firstLine="640"/>
        <w:jc w:val="left"/>
        <w:rPr>
          <w:rFonts w:ascii="仿宋_GB2312" w:eastAsia="仿宋_GB2312"/>
          <w:sz w:val="32"/>
          <w:szCs w:val="32"/>
        </w:rPr>
      </w:pPr>
      <w:bookmarkStart w:id="49" w:name="_Toc435713876"/>
      <w:bookmarkStart w:id="50" w:name="_Toc435713783"/>
      <w:r>
        <w:rPr>
          <w:rFonts w:ascii="仿宋_GB2312" w:eastAsia="仿宋_GB2312" w:hint="eastAsia"/>
          <w:sz w:val="32"/>
          <w:szCs w:val="32"/>
        </w:rPr>
        <w:t>（</w:t>
      </w:r>
      <w:r>
        <w:rPr>
          <w:rFonts w:ascii="仿宋_GB2312" w:eastAsia="仿宋_GB2312"/>
          <w:sz w:val="32"/>
          <w:szCs w:val="32"/>
        </w:rPr>
        <w:t>2</w:t>
      </w:r>
      <w:r>
        <w:rPr>
          <w:rFonts w:ascii="仿宋_GB2312" w:eastAsia="仿宋_GB2312" w:hint="eastAsia"/>
          <w:sz w:val="32"/>
          <w:szCs w:val="32"/>
        </w:rPr>
        <w:t>）学历结构。通过鼓励教师在职攻读学位和积极引进，使教师队伍学历结构日趋改善。具有硕士学位的教师占专任教师总数的比例为50.35％；具有博士学位的教师占专任教师总数的比例为24.62％。截止</w:t>
      </w:r>
      <w:r>
        <w:rPr>
          <w:rFonts w:ascii="仿宋_GB2312" w:eastAsia="仿宋_GB2312"/>
          <w:sz w:val="32"/>
          <w:szCs w:val="32"/>
        </w:rPr>
        <w:t>20</w:t>
      </w:r>
      <w:r>
        <w:rPr>
          <w:rFonts w:ascii="仿宋_GB2312" w:eastAsia="仿宋_GB2312" w:hint="eastAsia"/>
          <w:sz w:val="32"/>
          <w:szCs w:val="32"/>
        </w:rPr>
        <w:t>16年9月，教师中具有博士学位者245人，另有硕士学位者501人。</w:t>
      </w:r>
    </w:p>
    <w:p w:rsidR="00C47CD0" w:rsidRDefault="00081AE9">
      <w:pPr>
        <w:autoSpaceDE w:val="0"/>
        <w:autoSpaceDN w:val="0"/>
        <w:ind w:firstLineChars="200" w:firstLine="640"/>
        <w:jc w:val="left"/>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3</w:t>
      </w:r>
      <w:r>
        <w:rPr>
          <w:rFonts w:ascii="仿宋_GB2312" w:eastAsia="仿宋_GB2312" w:hint="eastAsia"/>
          <w:sz w:val="32"/>
          <w:szCs w:val="32"/>
        </w:rPr>
        <w:t>）学缘结构。学校注重教师学缘结构优化，有外校学历和有留学经历的教师比例逐年提高。学校鼓励教师深造攻读学位，鼓励出国出疆访学、参加培训、开展学术交流和挂职锻炼。学校专任教师中702人有外校学历，占专任教师</w:t>
      </w:r>
      <w:r>
        <w:rPr>
          <w:rFonts w:ascii="仿宋_GB2312" w:eastAsia="仿宋_GB2312" w:hint="eastAsia"/>
          <w:sz w:val="32"/>
          <w:szCs w:val="32"/>
        </w:rPr>
        <w:lastRenderedPageBreak/>
        <w:t>总数的</w:t>
      </w:r>
      <w:r>
        <w:rPr>
          <w:rFonts w:ascii="仿宋_GB2312" w:eastAsia="仿宋_GB2312"/>
          <w:sz w:val="32"/>
          <w:szCs w:val="32"/>
        </w:rPr>
        <w:t>70</w:t>
      </w:r>
      <w:r>
        <w:rPr>
          <w:rFonts w:ascii="仿宋_GB2312" w:eastAsia="仿宋_GB2312" w:hint="eastAsia"/>
          <w:sz w:val="32"/>
          <w:szCs w:val="32"/>
        </w:rPr>
        <w:t>.55</w:t>
      </w:r>
      <w:r>
        <w:rPr>
          <w:rFonts w:ascii="仿宋_GB2312" w:eastAsia="仿宋_GB2312"/>
          <w:sz w:val="32"/>
          <w:szCs w:val="32"/>
        </w:rPr>
        <w:t>%</w:t>
      </w:r>
      <w:r>
        <w:rPr>
          <w:rFonts w:ascii="仿宋_GB2312" w:eastAsia="仿宋_GB2312" w:hint="eastAsia"/>
          <w:sz w:val="32"/>
          <w:szCs w:val="32"/>
        </w:rPr>
        <w:t>；有留学经历的教师</w:t>
      </w:r>
      <w:r>
        <w:rPr>
          <w:rFonts w:ascii="仿宋_GB2312" w:eastAsia="仿宋_GB2312"/>
          <w:sz w:val="32"/>
          <w:szCs w:val="32"/>
        </w:rPr>
        <w:t>231</w:t>
      </w:r>
      <w:r>
        <w:rPr>
          <w:rFonts w:ascii="仿宋_GB2312" w:eastAsia="仿宋_GB2312" w:hint="eastAsia"/>
          <w:sz w:val="32"/>
          <w:szCs w:val="32"/>
        </w:rPr>
        <w:t>人，占专任教师总数23.22％。</w:t>
      </w:r>
    </w:p>
    <w:p w:rsidR="00C47CD0" w:rsidRDefault="00081AE9">
      <w:pPr>
        <w:autoSpaceDE w:val="0"/>
        <w:autoSpaceDN w:val="0"/>
        <w:ind w:firstLineChars="200" w:firstLine="640"/>
        <w:jc w:val="left"/>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4</w:t>
      </w:r>
      <w:r>
        <w:rPr>
          <w:rFonts w:ascii="仿宋_GB2312" w:eastAsia="仿宋_GB2312" w:hint="eastAsia"/>
          <w:sz w:val="32"/>
          <w:szCs w:val="32"/>
        </w:rPr>
        <w:t>）年龄结构。学校注重教师队伍的更新，全校专任教师中，年龄在</w:t>
      </w:r>
      <w:r>
        <w:rPr>
          <w:rFonts w:ascii="仿宋_GB2312" w:eastAsia="仿宋_GB2312"/>
          <w:sz w:val="32"/>
          <w:szCs w:val="32"/>
        </w:rPr>
        <w:t>40</w:t>
      </w:r>
      <w:r>
        <w:rPr>
          <w:rFonts w:ascii="仿宋_GB2312" w:eastAsia="仿宋_GB2312" w:hint="eastAsia"/>
          <w:sz w:val="32"/>
          <w:szCs w:val="32"/>
        </w:rPr>
        <w:t>岁（含</w:t>
      </w:r>
      <w:r>
        <w:rPr>
          <w:rFonts w:ascii="仿宋_GB2312" w:eastAsia="仿宋_GB2312"/>
          <w:sz w:val="32"/>
          <w:szCs w:val="32"/>
        </w:rPr>
        <w:t>40</w:t>
      </w:r>
      <w:r>
        <w:rPr>
          <w:rFonts w:ascii="仿宋_GB2312" w:eastAsia="仿宋_GB2312" w:hint="eastAsia"/>
          <w:sz w:val="32"/>
          <w:szCs w:val="32"/>
        </w:rPr>
        <w:t>岁）以下的有466人，</w:t>
      </w:r>
      <w:r>
        <w:rPr>
          <w:rFonts w:ascii="仿宋_GB2312" w:eastAsia="仿宋_GB2312"/>
          <w:sz w:val="32"/>
          <w:szCs w:val="32"/>
        </w:rPr>
        <w:t>40</w:t>
      </w:r>
      <w:r>
        <w:rPr>
          <w:rFonts w:ascii="仿宋_GB2312" w:eastAsia="仿宋_GB2312" w:hint="eastAsia"/>
          <w:sz w:val="32"/>
          <w:szCs w:val="32"/>
        </w:rPr>
        <w:t>岁至</w:t>
      </w:r>
      <w:r>
        <w:rPr>
          <w:rFonts w:ascii="仿宋_GB2312" w:eastAsia="仿宋_GB2312"/>
          <w:sz w:val="32"/>
          <w:szCs w:val="32"/>
        </w:rPr>
        <w:t>50</w:t>
      </w:r>
      <w:r>
        <w:rPr>
          <w:rFonts w:ascii="仿宋_GB2312" w:eastAsia="仿宋_GB2312" w:hint="eastAsia"/>
          <w:sz w:val="32"/>
          <w:szCs w:val="32"/>
        </w:rPr>
        <w:t>岁之间的有275人，</w:t>
      </w:r>
      <w:r>
        <w:rPr>
          <w:rFonts w:ascii="仿宋_GB2312" w:eastAsia="仿宋_GB2312"/>
          <w:sz w:val="32"/>
          <w:szCs w:val="32"/>
        </w:rPr>
        <w:t>50</w:t>
      </w:r>
      <w:r>
        <w:rPr>
          <w:rFonts w:ascii="仿宋_GB2312" w:eastAsia="仿宋_GB2312" w:hint="eastAsia"/>
          <w:sz w:val="32"/>
          <w:szCs w:val="32"/>
        </w:rPr>
        <w:t>岁以上的有254人，分别占教师总数的46.83</w:t>
      </w:r>
      <w:r>
        <w:rPr>
          <w:rFonts w:ascii="仿宋_GB2312" w:eastAsia="仿宋_GB2312"/>
          <w:sz w:val="32"/>
          <w:szCs w:val="32"/>
        </w:rPr>
        <w:t>%</w:t>
      </w:r>
      <w:r>
        <w:rPr>
          <w:rFonts w:ascii="仿宋_GB2312" w:eastAsia="仿宋_GB2312" w:hint="eastAsia"/>
          <w:sz w:val="32"/>
          <w:szCs w:val="32"/>
        </w:rPr>
        <w:t>、27.64</w:t>
      </w:r>
      <w:r>
        <w:rPr>
          <w:rFonts w:ascii="仿宋_GB2312" w:eastAsia="仿宋_GB2312"/>
          <w:sz w:val="32"/>
          <w:szCs w:val="32"/>
        </w:rPr>
        <w:t>%</w:t>
      </w:r>
      <w:r>
        <w:rPr>
          <w:rFonts w:ascii="仿宋_GB2312" w:eastAsia="仿宋_GB2312" w:hint="eastAsia"/>
          <w:sz w:val="32"/>
          <w:szCs w:val="32"/>
        </w:rPr>
        <w:t>和25.52</w:t>
      </w:r>
      <w:r>
        <w:rPr>
          <w:rFonts w:ascii="仿宋_GB2312" w:eastAsia="仿宋_GB2312"/>
          <w:sz w:val="32"/>
          <w:szCs w:val="32"/>
        </w:rPr>
        <w:t>%</w:t>
      </w:r>
      <w:r>
        <w:rPr>
          <w:rFonts w:ascii="仿宋_GB2312" w:eastAsia="仿宋_GB2312" w:hint="eastAsia"/>
          <w:sz w:val="32"/>
          <w:szCs w:val="32"/>
        </w:rPr>
        <w:t>。</w:t>
      </w:r>
    </w:p>
    <w:p w:rsidR="00C47CD0" w:rsidRDefault="00081AE9">
      <w:pPr>
        <w:autoSpaceDE w:val="0"/>
        <w:autoSpaceDN w:val="0"/>
        <w:ind w:firstLineChars="200" w:firstLine="640"/>
        <w:jc w:val="left"/>
        <w:outlineLvl w:val="2"/>
        <w:rPr>
          <w:rFonts w:ascii="仿宋_GB2312" w:eastAsia="仿宋_GB2312"/>
          <w:sz w:val="32"/>
          <w:szCs w:val="32"/>
        </w:rPr>
      </w:pPr>
      <w:r>
        <w:rPr>
          <w:rFonts w:ascii="仿宋_GB2312" w:eastAsia="仿宋_GB2312" w:hint="eastAsia"/>
          <w:sz w:val="32"/>
          <w:szCs w:val="32"/>
        </w:rPr>
        <w:t>2、加强教师培养，提升教师教学能力</w:t>
      </w:r>
      <w:bookmarkEnd w:id="49"/>
      <w:bookmarkEnd w:id="50"/>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1）组织督促新进教师有针对性有重点地听课，观摩说课竞赛，开展ERP实训等集体活动，学习学校教学、科研、人事等相关文件，开展以“知校爱校荣校”为主题的参观、学习、交流和座谈系列活动，推动新进教师融入学校环境和教师职业。</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新进教师训练营坚持开展多项活动，如参观校史馆、心理素质培训、各类座谈、讲座、教学观摩、交流讨论、说课比赛、考察实习基地等多种形式的活动，并实施考核，量化定级，评选优秀。为新进老师们配备导师，制定完整的指导方案，并提供授课优秀教师名单及课表，检查审核每月听课情况来保证新教师基本教学训练。</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继续鼓励教师攻读博士学位，大力支持少数民族教师攻读硕士、博士学位。积极争取国家及自治区各类培养项目，如“少数民族骨干人才计划”、“西部之光”访问学者计划、“质量工程”、国家留学基金委项目等，对师资队伍实</w:t>
      </w:r>
      <w:r>
        <w:rPr>
          <w:rFonts w:ascii="仿宋_GB2312" w:eastAsia="仿宋_GB2312" w:hint="eastAsia"/>
          <w:sz w:val="32"/>
          <w:szCs w:val="32"/>
        </w:rPr>
        <w:lastRenderedPageBreak/>
        <w:t>行分层次培养，积极支持学科带头人到国内外知名大学进行学术交流和高访，优先安排学术骨干出国访问、进修，大力支持青年骨干教师参加国内进修学习、交流与合作。在国家及自治区各类教师培训项目中优先选派少数民族骨干教师参训。</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3）搭建平台，借力名师,开展培训交流。邀请中国地质大学湖北省优秀教师、湖北省教学名师李宏伟到校做专题讲座，对青年教师进行教学技能培训；邀请美国罗格斯大学张亚红到校对我校教师讲授了公共管理研究的定量方法。积极组织教师走出去，开拓视野更新理念。</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教师教学发展中心组织我校23名骨干教师分别参加了“</w:t>
      </w:r>
      <w:r>
        <w:rPr>
          <w:rFonts w:ascii="仿宋_GB2312" w:eastAsia="仿宋_GB2312"/>
          <w:sz w:val="32"/>
          <w:szCs w:val="32"/>
        </w:rPr>
        <w:t>西北地区高校教师教学发展中心联盟</w:t>
      </w:r>
      <w:r>
        <w:rPr>
          <w:rFonts w:ascii="仿宋_GB2312" w:eastAsia="仿宋_GB2312" w:hint="eastAsia"/>
          <w:sz w:val="32"/>
          <w:szCs w:val="32"/>
        </w:rPr>
        <w:t>”、“</w:t>
      </w:r>
      <w:r>
        <w:rPr>
          <w:rFonts w:ascii="仿宋_GB2312" w:eastAsia="仿宋_GB2312"/>
          <w:sz w:val="32"/>
          <w:szCs w:val="32"/>
        </w:rPr>
        <w:t>高校教学督导及教学质量保障体系建设工作</w:t>
      </w:r>
      <w:r>
        <w:rPr>
          <w:rFonts w:ascii="仿宋_GB2312" w:eastAsia="仿宋_GB2312" w:hint="eastAsia"/>
          <w:sz w:val="32"/>
          <w:szCs w:val="32"/>
        </w:rPr>
        <w:t>”、“</w:t>
      </w:r>
      <w:r>
        <w:rPr>
          <w:rFonts w:ascii="仿宋_GB2312" w:eastAsia="仿宋_GB2312"/>
          <w:sz w:val="32"/>
          <w:szCs w:val="32"/>
        </w:rPr>
        <w:t>2015高校共享课程实践夏令营活动</w:t>
      </w:r>
      <w:r>
        <w:rPr>
          <w:rFonts w:ascii="仿宋_GB2312" w:eastAsia="仿宋_GB2312" w:hint="eastAsia"/>
          <w:sz w:val="32"/>
          <w:szCs w:val="32"/>
        </w:rPr>
        <w:t>”、“西北联盟无机化学与化学分析教学研修班”、“两岸四地高校教学发展网络年会”、“西部高校青年教师教学能力提高培训班”等疆外高校组织的六个不同主题的培训和会议，并组织我校54名教师分别参加自治区及其他高校组织的“数字时代的教学改革”、“新疆共享课程教室教学发展”、“青年教师教学能力提升培训班”等培训与会议。组织开展了</w:t>
      </w:r>
      <w:r>
        <w:rPr>
          <w:rFonts w:ascii="仿宋_GB2312" w:eastAsia="仿宋_GB2312"/>
          <w:sz w:val="32"/>
          <w:szCs w:val="32"/>
        </w:rPr>
        <w:t>6次技能培训、4场座谈会、</w:t>
      </w:r>
      <w:r>
        <w:rPr>
          <w:rFonts w:ascii="仿宋_GB2312" w:eastAsia="仿宋_GB2312" w:hint="eastAsia"/>
          <w:sz w:val="32"/>
          <w:szCs w:val="32"/>
        </w:rPr>
        <w:t>16</w:t>
      </w:r>
      <w:r>
        <w:rPr>
          <w:rFonts w:ascii="仿宋_GB2312" w:eastAsia="仿宋_GB2312"/>
          <w:sz w:val="32"/>
          <w:szCs w:val="32"/>
        </w:rPr>
        <w:t>门课的教学观摩等</w:t>
      </w:r>
      <w:r>
        <w:rPr>
          <w:rFonts w:ascii="仿宋_GB2312" w:eastAsia="仿宋_GB2312" w:hint="eastAsia"/>
          <w:sz w:val="32"/>
          <w:szCs w:val="32"/>
        </w:rPr>
        <w:t>活动</w:t>
      </w:r>
      <w:r>
        <w:rPr>
          <w:rFonts w:ascii="仿宋_GB2312" w:eastAsia="仿宋_GB2312"/>
          <w:sz w:val="32"/>
          <w:szCs w:val="32"/>
        </w:rPr>
        <w:t>。</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（4）组织教师授课竞赛。不断完善和改革教师授课竞赛形式，采用“高强度、5教学时段、3教学环节”等</w:t>
      </w:r>
      <w:r>
        <w:rPr>
          <w:rFonts w:ascii="仿宋_GB2312" w:eastAsia="仿宋_GB2312"/>
          <w:sz w:val="32"/>
          <w:szCs w:val="32"/>
        </w:rPr>
        <w:t>竞赛</w:t>
      </w:r>
      <w:r>
        <w:rPr>
          <w:rFonts w:ascii="仿宋_GB2312" w:eastAsia="仿宋_GB2312"/>
          <w:sz w:val="32"/>
          <w:szCs w:val="32"/>
        </w:rPr>
        <w:lastRenderedPageBreak/>
        <w:t>方式</w:t>
      </w:r>
      <w:r>
        <w:rPr>
          <w:rFonts w:ascii="仿宋_GB2312" w:eastAsia="仿宋_GB2312" w:hint="eastAsia"/>
          <w:sz w:val="32"/>
          <w:szCs w:val="32"/>
        </w:rPr>
        <w:t>，促进教师关注教学理念、教学方法的总结与概括，不断探索教学能力提升路径。201</w:t>
      </w:r>
      <w:r>
        <w:rPr>
          <w:rFonts w:ascii="仿宋_GB2312" w:eastAsia="仿宋_GB2312"/>
          <w:sz w:val="32"/>
          <w:szCs w:val="32"/>
        </w:rPr>
        <w:t>5</w:t>
      </w:r>
      <w:r>
        <w:rPr>
          <w:rFonts w:ascii="仿宋_GB2312" w:eastAsia="仿宋_GB2312" w:hint="eastAsia"/>
          <w:sz w:val="32"/>
          <w:szCs w:val="32"/>
        </w:rPr>
        <w:t>年共</w:t>
      </w:r>
      <w:r>
        <w:rPr>
          <w:rFonts w:ascii="仿宋_GB2312" w:eastAsia="仿宋_GB2312"/>
          <w:sz w:val="32"/>
          <w:szCs w:val="32"/>
        </w:rPr>
        <w:t>9</w:t>
      </w:r>
      <w:r>
        <w:rPr>
          <w:rFonts w:ascii="仿宋_GB2312" w:eastAsia="仿宋_GB2312" w:hint="eastAsia"/>
          <w:sz w:val="32"/>
          <w:szCs w:val="32"/>
        </w:rPr>
        <w:t>3名教师参加竞赛，评出10名十佳教学能手，1</w:t>
      </w:r>
      <w:r>
        <w:rPr>
          <w:rFonts w:ascii="仿宋_GB2312" w:eastAsia="仿宋_GB2312"/>
          <w:sz w:val="32"/>
          <w:szCs w:val="32"/>
        </w:rPr>
        <w:t>0</w:t>
      </w:r>
      <w:r>
        <w:rPr>
          <w:rFonts w:ascii="仿宋_GB2312" w:eastAsia="仿宋_GB2312" w:hint="eastAsia"/>
          <w:sz w:val="32"/>
          <w:szCs w:val="32"/>
        </w:rPr>
        <w:t>名授课优秀奖获得者，3名人气教师。该</w:t>
      </w:r>
      <w:r>
        <w:rPr>
          <w:rFonts w:ascii="仿宋_GB2312" w:eastAsia="仿宋_GB2312"/>
          <w:sz w:val="32"/>
          <w:szCs w:val="32"/>
        </w:rPr>
        <w:t>活动的组织促进了我校教师</w:t>
      </w:r>
      <w:r>
        <w:rPr>
          <w:rFonts w:ascii="仿宋_GB2312" w:eastAsia="仿宋_GB2312" w:hint="eastAsia"/>
          <w:sz w:val="32"/>
          <w:szCs w:val="32"/>
        </w:rPr>
        <w:t>之间的</w:t>
      </w:r>
      <w:r>
        <w:rPr>
          <w:rFonts w:ascii="仿宋_GB2312" w:eastAsia="仿宋_GB2312"/>
          <w:sz w:val="32"/>
          <w:szCs w:val="32"/>
        </w:rPr>
        <w:t>交流，也提高了</w:t>
      </w:r>
      <w:r>
        <w:rPr>
          <w:rFonts w:ascii="仿宋_GB2312" w:eastAsia="仿宋_GB2312" w:hint="eastAsia"/>
          <w:sz w:val="32"/>
          <w:szCs w:val="32"/>
        </w:rPr>
        <w:t>教师</w:t>
      </w:r>
      <w:r>
        <w:rPr>
          <w:rFonts w:ascii="仿宋_GB2312" w:eastAsia="仿宋_GB2312"/>
          <w:sz w:val="32"/>
          <w:szCs w:val="32"/>
        </w:rPr>
        <w:t>参与的热情。</w:t>
      </w:r>
      <w:r>
        <w:rPr>
          <w:rFonts w:ascii="仿宋_GB2312" w:eastAsia="仿宋_GB2312" w:hint="eastAsia"/>
          <w:sz w:val="32"/>
          <w:szCs w:val="32"/>
        </w:rPr>
        <w:t>2015年教师授课竞赛情况见表3。</w:t>
      </w:r>
    </w:p>
    <w:p w:rsidR="00C47CD0" w:rsidRDefault="00081AE9">
      <w:pPr>
        <w:adjustRightInd w:val="0"/>
        <w:snapToGrid w:val="0"/>
        <w:jc w:val="center"/>
        <w:rPr>
          <w:rFonts w:ascii="方正小标宋简体" w:eastAsia="方正小标宋简体"/>
          <w:bCs/>
          <w:sz w:val="24"/>
        </w:rPr>
      </w:pPr>
      <w:r>
        <w:rPr>
          <w:rFonts w:ascii="宋体" w:hAnsi="宋体" w:hint="eastAsia"/>
          <w:sz w:val="24"/>
        </w:rPr>
        <w:t xml:space="preserve">表3 </w:t>
      </w:r>
      <w:r>
        <w:rPr>
          <w:rFonts w:ascii="方正小标宋简体" w:eastAsia="方正小标宋简体" w:hint="eastAsia"/>
          <w:b/>
          <w:bCs/>
          <w:sz w:val="24"/>
        </w:rPr>
        <w:t xml:space="preserve">  </w:t>
      </w:r>
      <w:r>
        <w:rPr>
          <w:rFonts w:ascii="宋体" w:hAnsi="宋体" w:hint="eastAsia"/>
          <w:b/>
          <w:sz w:val="28"/>
          <w:szCs w:val="28"/>
        </w:rPr>
        <w:t>2015年教师授课竞赛情况</w:t>
      </w:r>
    </w:p>
    <w:tbl>
      <w:tblPr>
        <w:tblW w:w="8336" w:type="dxa"/>
        <w:tblBorders>
          <w:top w:val="single" w:sz="4" w:space="0" w:color="000000"/>
          <w:bottom w:val="single" w:sz="4" w:space="0" w:color="000000"/>
          <w:insideH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508"/>
        <w:gridCol w:w="1509"/>
        <w:gridCol w:w="2302"/>
        <w:gridCol w:w="1509"/>
        <w:gridCol w:w="1508"/>
      </w:tblGrid>
      <w:tr w:rsidR="00C47CD0">
        <w:trPr>
          <w:trHeight w:val="300"/>
        </w:trPr>
        <w:tc>
          <w:tcPr>
            <w:tcW w:w="1508" w:type="dxa"/>
            <w:tcBorders>
              <w:bottom w:val="single" w:sz="4" w:space="0" w:color="000000"/>
            </w:tcBorders>
            <w:vAlign w:val="center"/>
          </w:tcPr>
          <w:p w:rsidR="00C47CD0" w:rsidRDefault="00081AE9">
            <w:pPr>
              <w:adjustRightInd w:val="0"/>
              <w:snapToGrid w:val="0"/>
              <w:spacing w:line="400" w:lineRule="exact"/>
              <w:jc w:val="center"/>
              <w:rPr>
                <w:rFonts w:ascii="宋体" w:hAnsi="宋体"/>
                <w:b/>
                <w:snapToGrid w:val="0"/>
                <w:kern w:val="0"/>
                <w:szCs w:val="21"/>
              </w:rPr>
            </w:pPr>
            <w:r>
              <w:rPr>
                <w:rFonts w:ascii="宋体" w:hAnsi="宋体" w:hint="eastAsia"/>
                <w:b/>
                <w:snapToGrid w:val="0"/>
                <w:kern w:val="0"/>
                <w:szCs w:val="21"/>
              </w:rPr>
              <w:t>序号</w:t>
            </w:r>
          </w:p>
        </w:tc>
        <w:tc>
          <w:tcPr>
            <w:tcW w:w="1509" w:type="dxa"/>
            <w:tcBorders>
              <w:bottom w:val="single" w:sz="4" w:space="0" w:color="000000"/>
            </w:tcBorders>
            <w:vAlign w:val="center"/>
          </w:tcPr>
          <w:p w:rsidR="00C47CD0" w:rsidRDefault="00081AE9">
            <w:pPr>
              <w:adjustRightInd w:val="0"/>
              <w:snapToGrid w:val="0"/>
              <w:spacing w:line="400" w:lineRule="exact"/>
              <w:jc w:val="center"/>
              <w:rPr>
                <w:rFonts w:ascii="宋体" w:hAnsi="宋体"/>
                <w:b/>
                <w:snapToGrid w:val="0"/>
                <w:kern w:val="0"/>
                <w:szCs w:val="21"/>
              </w:rPr>
            </w:pPr>
            <w:r>
              <w:rPr>
                <w:rFonts w:ascii="宋体" w:hAnsi="宋体" w:hint="eastAsia"/>
                <w:b/>
                <w:snapToGrid w:val="0"/>
                <w:kern w:val="0"/>
                <w:szCs w:val="21"/>
              </w:rPr>
              <w:t>学院</w:t>
            </w:r>
          </w:p>
        </w:tc>
        <w:tc>
          <w:tcPr>
            <w:tcW w:w="2302" w:type="dxa"/>
            <w:tcBorders>
              <w:bottom w:val="single" w:sz="4" w:space="0" w:color="000000"/>
            </w:tcBorders>
            <w:vAlign w:val="center"/>
          </w:tcPr>
          <w:p w:rsidR="00C47CD0" w:rsidRDefault="00081AE9">
            <w:pPr>
              <w:adjustRightInd w:val="0"/>
              <w:snapToGrid w:val="0"/>
              <w:spacing w:line="400" w:lineRule="exact"/>
              <w:jc w:val="center"/>
              <w:rPr>
                <w:rFonts w:ascii="宋体" w:hAnsi="宋体"/>
                <w:b/>
                <w:snapToGrid w:val="0"/>
                <w:kern w:val="0"/>
                <w:szCs w:val="21"/>
              </w:rPr>
            </w:pPr>
            <w:r>
              <w:rPr>
                <w:rFonts w:ascii="宋体" w:hAnsi="宋体" w:hint="eastAsia"/>
                <w:b/>
                <w:snapToGrid w:val="0"/>
                <w:kern w:val="0"/>
                <w:szCs w:val="21"/>
              </w:rPr>
              <w:t>参加初赛人数</w:t>
            </w:r>
          </w:p>
        </w:tc>
        <w:tc>
          <w:tcPr>
            <w:tcW w:w="1509" w:type="dxa"/>
            <w:tcBorders>
              <w:bottom w:val="single" w:sz="4" w:space="0" w:color="000000"/>
            </w:tcBorders>
            <w:vAlign w:val="center"/>
          </w:tcPr>
          <w:p w:rsidR="00C47CD0" w:rsidRDefault="00081AE9">
            <w:pPr>
              <w:adjustRightInd w:val="0"/>
              <w:snapToGrid w:val="0"/>
              <w:spacing w:line="400" w:lineRule="exact"/>
              <w:jc w:val="center"/>
              <w:rPr>
                <w:rFonts w:ascii="宋体" w:hAnsi="宋体"/>
                <w:b/>
                <w:snapToGrid w:val="0"/>
                <w:kern w:val="0"/>
                <w:szCs w:val="21"/>
              </w:rPr>
            </w:pPr>
            <w:r>
              <w:rPr>
                <w:rFonts w:ascii="宋体" w:hAnsi="宋体" w:hint="eastAsia"/>
                <w:b/>
                <w:snapToGrid w:val="0"/>
                <w:kern w:val="0"/>
                <w:szCs w:val="21"/>
              </w:rPr>
              <w:t>十佳能手</w:t>
            </w:r>
          </w:p>
        </w:tc>
        <w:tc>
          <w:tcPr>
            <w:tcW w:w="1508" w:type="dxa"/>
            <w:tcBorders>
              <w:bottom w:val="single" w:sz="4" w:space="0" w:color="000000"/>
            </w:tcBorders>
            <w:vAlign w:val="center"/>
          </w:tcPr>
          <w:p w:rsidR="00C47CD0" w:rsidRDefault="00081AE9">
            <w:pPr>
              <w:adjustRightInd w:val="0"/>
              <w:snapToGrid w:val="0"/>
              <w:spacing w:line="400" w:lineRule="exact"/>
              <w:jc w:val="center"/>
              <w:rPr>
                <w:rFonts w:ascii="宋体" w:hAnsi="宋体"/>
                <w:b/>
                <w:snapToGrid w:val="0"/>
                <w:kern w:val="0"/>
                <w:szCs w:val="21"/>
              </w:rPr>
            </w:pPr>
            <w:r>
              <w:rPr>
                <w:rFonts w:ascii="宋体" w:hAnsi="宋体" w:hint="eastAsia"/>
                <w:b/>
                <w:snapToGrid w:val="0"/>
                <w:kern w:val="0"/>
                <w:szCs w:val="21"/>
              </w:rPr>
              <w:t>优秀获奖</w:t>
            </w:r>
          </w:p>
        </w:tc>
      </w:tr>
      <w:tr w:rsidR="00C47CD0">
        <w:trPr>
          <w:trHeight w:val="285"/>
        </w:trPr>
        <w:tc>
          <w:tcPr>
            <w:tcW w:w="1508" w:type="dxa"/>
            <w:tcBorders>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9" w:type="dxa"/>
            <w:tcBorders>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农学院</w:t>
            </w:r>
          </w:p>
        </w:tc>
        <w:tc>
          <w:tcPr>
            <w:tcW w:w="2302" w:type="dxa"/>
            <w:tcBorders>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7</w:t>
            </w:r>
          </w:p>
        </w:tc>
        <w:tc>
          <w:tcPr>
            <w:tcW w:w="1509" w:type="dxa"/>
            <w:tcBorders>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8" w:type="dxa"/>
            <w:tcBorders>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2</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2</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林园学院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4</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2</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3</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动科学院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7</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4</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动医学院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草环学院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10</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6</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水利学院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2</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7</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机交学院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6</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8</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计算机学院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9</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食药学院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510"/>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10</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数理学院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11</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化工学院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3</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12</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经贸学院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13</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管理学院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8</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2</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14</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中语学院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6</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外语学院</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5</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r>
      <w:tr w:rsidR="00C47CD0">
        <w:trPr>
          <w:trHeight w:val="285"/>
        </w:trPr>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16</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思政部</w:t>
            </w:r>
          </w:p>
        </w:tc>
        <w:tc>
          <w:tcPr>
            <w:tcW w:w="2302"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4</w:t>
            </w:r>
          </w:p>
        </w:tc>
        <w:tc>
          <w:tcPr>
            <w:tcW w:w="1509"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c>
          <w:tcPr>
            <w:tcW w:w="1508" w:type="dxa"/>
            <w:tcBorders>
              <w:top w:val="nil"/>
              <w:bottom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w:t>
            </w:r>
          </w:p>
        </w:tc>
      </w:tr>
      <w:tr w:rsidR="00C47CD0">
        <w:trPr>
          <w:trHeight w:val="300"/>
        </w:trPr>
        <w:tc>
          <w:tcPr>
            <w:tcW w:w="1508" w:type="dxa"/>
            <w:tcBorders>
              <w:top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17</w:t>
            </w:r>
          </w:p>
        </w:tc>
        <w:tc>
          <w:tcPr>
            <w:tcW w:w="1509" w:type="dxa"/>
            <w:tcBorders>
              <w:top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体育部</w:t>
            </w:r>
          </w:p>
        </w:tc>
        <w:tc>
          <w:tcPr>
            <w:tcW w:w="2302" w:type="dxa"/>
            <w:tcBorders>
              <w:top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3</w:t>
            </w:r>
          </w:p>
        </w:tc>
        <w:tc>
          <w:tcPr>
            <w:tcW w:w="1509" w:type="dxa"/>
            <w:tcBorders>
              <w:top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c>
          <w:tcPr>
            <w:tcW w:w="1508" w:type="dxa"/>
            <w:tcBorders>
              <w:top w:val="nil"/>
            </w:tcBorders>
            <w:vAlign w:val="center"/>
          </w:tcPr>
          <w:p w:rsidR="00C47CD0" w:rsidRDefault="00081AE9">
            <w:pPr>
              <w:adjustRightInd w:val="0"/>
              <w:snapToGrid w:val="0"/>
              <w:spacing w:line="400" w:lineRule="exact"/>
              <w:jc w:val="center"/>
              <w:rPr>
                <w:rFonts w:ascii="宋体" w:hAnsi="宋体"/>
                <w:snapToGrid w:val="0"/>
                <w:kern w:val="0"/>
                <w:szCs w:val="21"/>
              </w:rPr>
            </w:pPr>
            <w:r>
              <w:rPr>
                <w:rFonts w:ascii="宋体" w:hAnsi="宋体" w:hint="eastAsia"/>
                <w:snapToGrid w:val="0"/>
                <w:kern w:val="0"/>
                <w:szCs w:val="21"/>
              </w:rPr>
              <w:t>—</w:t>
            </w:r>
          </w:p>
        </w:tc>
      </w:tr>
      <w:tr w:rsidR="00C47CD0">
        <w:trPr>
          <w:trHeight w:val="300"/>
        </w:trPr>
        <w:tc>
          <w:tcPr>
            <w:tcW w:w="1508" w:type="dxa"/>
            <w:vAlign w:val="center"/>
          </w:tcPr>
          <w:p w:rsidR="00C47CD0" w:rsidRDefault="00C47CD0">
            <w:pPr>
              <w:adjustRightInd w:val="0"/>
              <w:snapToGrid w:val="0"/>
              <w:spacing w:line="400" w:lineRule="exact"/>
              <w:jc w:val="center"/>
              <w:rPr>
                <w:rFonts w:ascii="宋体" w:hAnsi="宋体"/>
                <w:snapToGrid w:val="0"/>
                <w:kern w:val="0"/>
                <w:szCs w:val="21"/>
              </w:rPr>
            </w:pPr>
          </w:p>
        </w:tc>
        <w:tc>
          <w:tcPr>
            <w:tcW w:w="1509" w:type="dxa"/>
            <w:vAlign w:val="center"/>
          </w:tcPr>
          <w:p w:rsidR="00C47CD0" w:rsidRDefault="00081AE9">
            <w:pPr>
              <w:widowControl/>
              <w:adjustRightInd w:val="0"/>
              <w:snapToGrid w:val="0"/>
              <w:spacing w:line="400" w:lineRule="exact"/>
              <w:jc w:val="center"/>
              <w:textAlignment w:val="bottom"/>
              <w:rPr>
                <w:rFonts w:ascii="宋体" w:hAnsi="宋体"/>
                <w:snapToGrid w:val="0"/>
                <w:kern w:val="0"/>
                <w:szCs w:val="21"/>
              </w:rPr>
            </w:pPr>
            <w:r>
              <w:rPr>
                <w:rFonts w:ascii="宋体" w:hAnsi="宋体" w:hint="eastAsia"/>
                <w:snapToGrid w:val="0"/>
                <w:kern w:val="0"/>
                <w:szCs w:val="21"/>
              </w:rPr>
              <w:t>合计</w:t>
            </w:r>
          </w:p>
        </w:tc>
        <w:tc>
          <w:tcPr>
            <w:tcW w:w="2302" w:type="dxa"/>
            <w:vAlign w:val="center"/>
          </w:tcPr>
          <w:p w:rsidR="00C47CD0" w:rsidRDefault="00081AE9">
            <w:pPr>
              <w:widowControl/>
              <w:adjustRightInd w:val="0"/>
              <w:snapToGrid w:val="0"/>
              <w:spacing w:line="400" w:lineRule="exact"/>
              <w:jc w:val="center"/>
              <w:textAlignment w:val="bottom"/>
              <w:rPr>
                <w:rFonts w:ascii="宋体" w:hAnsi="宋体"/>
                <w:snapToGrid w:val="0"/>
                <w:kern w:val="0"/>
                <w:szCs w:val="21"/>
              </w:rPr>
            </w:pPr>
            <w:r>
              <w:rPr>
                <w:rFonts w:ascii="宋体" w:hAnsi="宋体" w:hint="eastAsia"/>
                <w:snapToGrid w:val="0"/>
                <w:kern w:val="0"/>
                <w:szCs w:val="21"/>
              </w:rPr>
              <w:t>93</w:t>
            </w:r>
          </w:p>
        </w:tc>
        <w:tc>
          <w:tcPr>
            <w:tcW w:w="1509" w:type="dxa"/>
            <w:vAlign w:val="center"/>
          </w:tcPr>
          <w:p w:rsidR="00C47CD0" w:rsidRDefault="00081AE9">
            <w:pPr>
              <w:widowControl/>
              <w:adjustRightInd w:val="0"/>
              <w:snapToGrid w:val="0"/>
              <w:spacing w:line="400" w:lineRule="exact"/>
              <w:jc w:val="center"/>
              <w:textAlignment w:val="bottom"/>
              <w:rPr>
                <w:rFonts w:ascii="宋体" w:hAnsi="宋体"/>
                <w:snapToGrid w:val="0"/>
                <w:kern w:val="0"/>
                <w:szCs w:val="21"/>
              </w:rPr>
            </w:pPr>
            <w:r>
              <w:rPr>
                <w:rFonts w:ascii="宋体" w:hAnsi="宋体" w:hint="eastAsia"/>
                <w:snapToGrid w:val="0"/>
                <w:kern w:val="0"/>
                <w:szCs w:val="21"/>
              </w:rPr>
              <w:t>10</w:t>
            </w:r>
          </w:p>
        </w:tc>
        <w:tc>
          <w:tcPr>
            <w:tcW w:w="1508" w:type="dxa"/>
            <w:vAlign w:val="center"/>
          </w:tcPr>
          <w:p w:rsidR="00C47CD0" w:rsidRDefault="00081AE9">
            <w:pPr>
              <w:widowControl/>
              <w:adjustRightInd w:val="0"/>
              <w:snapToGrid w:val="0"/>
              <w:spacing w:line="400" w:lineRule="exact"/>
              <w:jc w:val="center"/>
              <w:textAlignment w:val="bottom"/>
              <w:rPr>
                <w:rFonts w:ascii="宋体" w:hAnsi="宋体"/>
                <w:snapToGrid w:val="0"/>
                <w:kern w:val="0"/>
                <w:szCs w:val="21"/>
              </w:rPr>
            </w:pPr>
            <w:r>
              <w:rPr>
                <w:rFonts w:ascii="宋体" w:hAnsi="宋体" w:hint="eastAsia"/>
                <w:snapToGrid w:val="0"/>
                <w:kern w:val="0"/>
                <w:szCs w:val="21"/>
              </w:rPr>
              <w:t>10</w:t>
            </w:r>
          </w:p>
        </w:tc>
      </w:tr>
    </w:tbl>
    <w:p w:rsidR="00C47CD0" w:rsidRDefault="00C47CD0">
      <w:pPr>
        <w:ind w:firstLineChars="200" w:firstLine="640"/>
        <w:rPr>
          <w:rFonts w:ascii="仿宋_GB2312" w:eastAsia="仿宋_GB2312"/>
          <w:sz w:val="32"/>
          <w:szCs w:val="32"/>
        </w:rPr>
      </w:pP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Pr>
          <w:rFonts w:ascii="仿宋_GB2312" w:eastAsia="仿宋_GB2312" w:hint="eastAsia"/>
          <w:sz w:val="32"/>
          <w:szCs w:val="32"/>
        </w:rPr>
        <w:t>省部级竞赛获佳绩。第一届中国外语微课大赛获新疆区一等奖和二等奖各一项。第二届全国高校微课大赛中，</w:t>
      </w:r>
      <w:r>
        <w:rPr>
          <w:rFonts w:ascii="仿宋_GB2312" w:eastAsia="仿宋_GB2312" w:hint="eastAsia"/>
          <w:sz w:val="32"/>
          <w:szCs w:val="32"/>
        </w:rPr>
        <w:lastRenderedPageBreak/>
        <w:t>我校获优秀组织奖，并获全国优秀奖二项、新疆赛区一等奖二项；新疆赛区二等奖二项；新疆赛区三等奖五项，</w:t>
      </w:r>
      <w:r>
        <w:rPr>
          <w:rFonts w:ascii="仿宋_GB2312" w:eastAsia="仿宋_GB2312"/>
          <w:sz w:val="32"/>
          <w:szCs w:val="32"/>
        </w:rPr>
        <w:t>中国高等农业院校中青年体育教师说课比赛</w:t>
      </w:r>
      <w:r>
        <w:rPr>
          <w:rFonts w:ascii="仿宋_GB2312" w:eastAsia="仿宋_GB2312" w:hint="eastAsia"/>
          <w:sz w:val="32"/>
          <w:szCs w:val="32"/>
        </w:rPr>
        <w:t>获公体组二等奖一项。第十五届全国多媒体课件大赛中，获高教工科组二等奖一项、高教文科组二等奖一项、高教工科组三等奖一项、高教工科组优秀奖三项、微课优秀奖一项。第五届和第六届“外教社杯”全国高校外语教学大赛获新疆赛区决赛一等奖一项。第二届自治区高校思想政治理论课中青年说课大赛获二等奖二项。</w:t>
      </w:r>
      <w:r>
        <w:rPr>
          <w:rFonts w:ascii="仿宋_GB2312" w:eastAsia="仿宋_GB2312"/>
          <w:sz w:val="32"/>
          <w:szCs w:val="32"/>
        </w:rPr>
        <w:t>中国西部地区农业高校体育青年教师说课比赛</w:t>
      </w:r>
      <w:r>
        <w:rPr>
          <w:rFonts w:ascii="仿宋_GB2312" w:eastAsia="仿宋_GB2312" w:hint="eastAsia"/>
          <w:sz w:val="32"/>
          <w:szCs w:val="32"/>
        </w:rPr>
        <w:t>获一等奖和二等奖各一项及优秀指导教师。</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６）重视在线学习，督促教师充电，开展教师网络培训。教师发展中心建立了新疆农业大学网络在线学习中心，根据教师教学水平提升的需求，购买了五十门课程，要求新进教师必须在网络培训课程中自选两门课程，并获取证书，同时，广泛宣传，让广大教师业余时间通过在线学习中心进行学习。2015年我校共有300名教师注册，学习学分达到1272.1分，体育部木合甫力老师以45.54个学分成为2015年学霸，我校网络培训得到了教育部网培中心充分肯定，荣获了2014年度全国高校教师网络培训工作先进集体称号，并特邀我校在“新疆维吾尔自治区高等学校教师网络培训工作研讨会”上进行在线学习心得分享。</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3、引进高层次人才工作取得重要进展</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lastRenderedPageBreak/>
        <w:t>2013年5月学校出台了《新疆农业大学高层次人才引进暂行办法》，加大了对引进的高层次人才在住房、科研启动费、生活津贴等方面的支持力度，201</w:t>
      </w:r>
      <w:r>
        <w:rPr>
          <w:rFonts w:ascii="仿宋_GB2312" w:eastAsia="仿宋_GB2312"/>
          <w:sz w:val="32"/>
          <w:szCs w:val="32"/>
        </w:rPr>
        <w:t>4</w:t>
      </w: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两年应聘和实际招聘的具有博士学位的教师比例明显提升。</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高层次人才的招聘时间及方式更加灵活，在校园网上对重点学科、急需建设学科的博士需求采取常年招聘的方式，并实时组织专家进行考核评估，充分利用自治区高层次人才引进的绿色通道，在最短时间内为符合条件的应聘人员办理聘用手续。充分利用自治区的“天山学者计划”引进我校重点学科急需高层次人才，2012年五个学科引进18人，2013年四个学科引进15人。</w:t>
      </w:r>
      <w:r>
        <w:rPr>
          <w:rFonts w:ascii="仿宋_GB2312" w:eastAsia="仿宋_GB2312"/>
          <w:sz w:val="32"/>
          <w:szCs w:val="32"/>
        </w:rPr>
        <w:t>2015</w:t>
      </w:r>
      <w:r>
        <w:rPr>
          <w:rFonts w:ascii="仿宋_GB2312" w:eastAsia="仿宋_GB2312" w:hint="eastAsia"/>
          <w:sz w:val="32"/>
          <w:szCs w:val="32"/>
        </w:rPr>
        <w:t>年我校</w:t>
      </w:r>
      <w:r>
        <w:rPr>
          <w:rFonts w:ascii="仿宋_GB2312" w:eastAsia="仿宋_GB2312"/>
          <w:sz w:val="32"/>
          <w:szCs w:val="32"/>
        </w:rPr>
        <w:t>获批</w:t>
      </w:r>
      <w:r>
        <w:rPr>
          <w:rFonts w:ascii="仿宋_GB2312" w:eastAsia="仿宋_GB2312" w:hint="eastAsia"/>
          <w:sz w:val="32"/>
          <w:szCs w:val="32"/>
        </w:rPr>
        <w:t>“天山学者”15人，全校</w:t>
      </w:r>
      <w:r>
        <w:rPr>
          <w:rFonts w:ascii="仿宋_GB2312" w:eastAsia="仿宋_GB2312"/>
          <w:sz w:val="32"/>
          <w:szCs w:val="32"/>
        </w:rPr>
        <w:t>共有</w:t>
      </w:r>
      <w:r>
        <w:rPr>
          <w:rFonts w:ascii="仿宋_GB2312" w:eastAsia="仿宋_GB2312" w:hint="eastAsia"/>
          <w:sz w:val="32"/>
          <w:szCs w:val="32"/>
        </w:rPr>
        <w:t>“</w:t>
      </w:r>
      <w:r>
        <w:rPr>
          <w:rFonts w:ascii="仿宋_GB2312" w:eastAsia="仿宋_GB2312"/>
          <w:sz w:val="32"/>
          <w:szCs w:val="32"/>
        </w:rPr>
        <w:t>天山学者</w:t>
      </w:r>
      <w:r>
        <w:rPr>
          <w:rFonts w:ascii="仿宋_GB2312" w:eastAsia="仿宋_GB2312" w:hint="eastAsia"/>
          <w:sz w:val="32"/>
          <w:szCs w:val="32"/>
        </w:rPr>
        <w:t>”39人。</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出台了《新疆农业大学高层次人才引进管理和考核暂行办法》,明确引进人才的工作目标和工作任务，并以此为依据对引进人才进行跟踪考核。</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储备师资。针对工科难以引进高层次人才的实际问题，选拔优秀的在读博士研究生作为后备师资，送到国内外知名高校联合培养，提高培养的针对性。</w:t>
      </w:r>
    </w:p>
    <w:p w:rsidR="00C47CD0" w:rsidRDefault="00081AE9">
      <w:pPr>
        <w:autoSpaceDE w:val="0"/>
        <w:autoSpaceDN w:val="0"/>
        <w:ind w:firstLineChars="200" w:firstLine="643"/>
        <w:jc w:val="left"/>
        <w:outlineLvl w:val="1"/>
        <w:rPr>
          <w:rFonts w:ascii="仿宋_GB2312" w:eastAsia="仿宋_GB2312"/>
          <w:b/>
          <w:sz w:val="32"/>
          <w:szCs w:val="32"/>
        </w:rPr>
      </w:pPr>
      <w:bookmarkStart w:id="51" w:name="_Toc435713877"/>
      <w:bookmarkStart w:id="52" w:name="_Toc435713784"/>
      <w:r>
        <w:rPr>
          <w:rFonts w:ascii="仿宋_GB2312" w:eastAsia="仿宋_GB2312" w:hint="eastAsia"/>
          <w:b/>
          <w:sz w:val="32"/>
          <w:szCs w:val="32"/>
        </w:rPr>
        <w:t>（二）自治区级教学名师、教学能手</w:t>
      </w:r>
      <w:bookmarkEnd w:id="51"/>
      <w:bookmarkEnd w:id="52"/>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加强教学名师和教学能手的培育工作，提前遴选候选人，引导教学单位重点培育。积极组织申报自治区教学名师和自治区教学能手。2015年姚新奎教授荣获自治区第十届教学名</w:t>
      </w:r>
      <w:r>
        <w:rPr>
          <w:rFonts w:ascii="仿宋_GB2312" w:eastAsia="仿宋_GB2312" w:hint="eastAsia"/>
          <w:sz w:val="32"/>
          <w:szCs w:val="32"/>
        </w:rPr>
        <w:lastRenderedPageBreak/>
        <w:t>师称号，陈玲、陈英杰老师荣获自治区第五届教学能手称号。</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姚新奎，汉族，博士，教授，博士研究生导师，新疆农业大学马产业研究院院长，动科学院草食动物生产教研室主任，高校教龄33年。目前担任中国马业协会副理事长、国家马产业技术创新战略联盟常务副理事长、秘书长、国家畜禽遗传资源委员会牛马驴驼专业委员、深圳赛马会副会长、新疆马业协会副理事长、秘书长、广东马业协会高级顾问、</w:t>
      </w:r>
      <w:r>
        <w:rPr>
          <w:rFonts w:ascii="仿宋_GB2312" w:eastAsia="仿宋_GB2312" w:hint="eastAsia"/>
          <w:noProof/>
          <w:sz w:val="32"/>
          <w:szCs w:val="32"/>
        </w:rPr>
        <w:drawing>
          <wp:anchor distT="0" distB="0" distL="114300" distR="114300" simplePos="0" relativeHeight="251665408" behindDoc="0" locked="0" layoutInCell="1" allowOverlap="0">
            <wp:simplePos x="0" y="0"/>
            <wp:positionH relativeFrom="column">
              <wp:posOffset>241300</wp:posOffset>
            </wp:positionH>
            <wp:positionV relativeFrom="line">
              <wp:posOffset>508635</wp:posOffset>
            </wp:positionV>
            <wp:extent cx="5034280" cy="3306445"/>
            <wp:effectExtent l="0" t="0" r="0" b="0"/>
            <wp:wrapTopAndBottom/>
            <wp:docPr id="2" name="图片 2" descr="C:\Users\lenovo\AppData\Local\Temp\ksohtml\wps555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ksohtml\wps5554.tmp.jpg"/>
                    <pic:cNvPicPr>
                      <a:picLocks noChangeAspect="1" noChangeArrowheads="1"/>
                    </pic:cNvPicPr>
                  </pic:nvPicPr>
                  <pic:blipFill>
                    <a:blip r:embed="rId12" cstate="print"/>
                    <a:srcRect/>
                    <a:stretch>
                      <a:fillRect/>
                    </a:stretch>
                  </pic:blipFill>
                  <pic:spPr>
                    <a:xfrm>
                      <a:off x="0" y="0"/>
                      <a:ext cx="5034280" cy="3306445"/>
                    </a:xfrm>
                    <a:prstGeom prst="rect">
                      <a:avLst/>
                    </a:prstGeom>
                    <a:noFill/>
                    <a:ln w="9525">
                      <a:noFill/>
                      <a:miter lim="800000"/>
                      <a:headEnd/>
                      <a:tailEnd/>
                    </a:ln>
                  </pic:spPr>
                </pic:pic>
              </a:graphicData>
            </a:graphic>
          </wp:anchor>
        </w:drawing>
      </w:r>
      <w:r>
        <w:rPr>
          <w:rFonts w:ascii="仿宋_GB2312" w:eastAsia="仿宋_GB2312" w:hint="eastAsia"/>
          <w:sz w:val="32"/>
          <w:szCs w:val="32"/>
        </w:rPr>
        <w:t>乌鲁木齐马术协会主席。</w:t>
      </w:r>
    </w:p>
    <w:p w:rsidR="00C47CD0" w:rsidRDefault="00081AE9">
      <w:pPr>
        <w:jc w:val="center"/>
        <w:rPr>
          <w:rFonts w:ascii="宋体" w:hAnsi="宋体"/>
          <w:b/>
          <w:sz w:val="28"/>
          <w:szCs w:val="28"/>
        </w:rPr>
      </w:pPr>
      <w:r>
        <w:rPr>
          <w:rFonts w:ascii="宋体" w:hAnsi="宋体" w:hint="eastAsia"/>
          <w:sz w:val="28"/>
          <w:szCs w:val="28"/>
        </w:rPr>
        <w:t>图</w:t>
      </w:r>
      <w:r>
        <w:rPr>
          <w:rFonts w:ascii="宋体" w:hAnsi="宋体"/>
          <w:sz w:val="28"/>
          <w:szCs w:val="28"/>
        </w:rPr>
        <w:t>1</w:t>
      </w:r>
      <w:r>
        <w:rPr>
          <w:rFonts w:ascii="宋体" w:hAnsi="宋体" w:hint="eastAsia"/>
          <w:sz w:val="28"/>
          <w:szCs w:val="28"/>
        </w:rPr>
        <w:t xml:space="preserve">   </w:t>
      </w:r>
      <w:r>
        <w:rPr>
          <w:rFonts w:ascii="宋体" w:hAnsi="宋体" w:hint="eastAsia"/>
          <w:b/>
          <w:sz w:val="28"/>
          <w:szCs w:val="28"/>
        </w:rPr>
        <w:t>自治区教学名师姚新奎教授</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主要从事马的遗传育种繁育、饲养管理、登记注册管理、产品开发、马术、赛马等方面的科研和教学工作。先后留学英国、法国学习马的繁育、饲养管理、马场管理及赛马组织管理和实践培训等，并进行了各类马类科学专业交流和考察</w:t>
      </w:r>
      <w:r>
        <w:rPr>
          <w:rFonts w:ascii="仿宋_GB2312" w:eastAsia="仿宋_GB2312" w:hint="eastAsia"/>
          <w:sz w:val="32"/>
          <w:szCs w:val="32"/>
        </w:rPr>
        <w:lastRenderedPageBreak/>
        <w:t>活动。主要讲授本科生动物遗传学、马属动物生产学、畜产品加工学、马术运动及研究生动物食品安全、现代马业等课程。</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姚新奎教授长期坚持在教学第一线，在教学实践中善于把国内外教改成果、学科最新发展成果和自己的科研资源转化为教学资源，理论联系实际，紧密跟踪行业动态，培育学生的主动精神和创造性思维，培养学生综合素质和能力，深受学生爱戴。2014年，他主持的“马术运动鉴赏”课程获批国家精品视频公开课。主讲的场地障碍赛课程荣获全国高校第二届微课大赛优秀奖、新疆赛区一等奖。</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2012年起担任国家科技部马产业科技项目首席科学家。近年来主持科技部国际合作项目2项、国家科技支撑项目2项、农业部行业专项1项，主持自治区重大专项1项、科技支撑项目2项。发表专业科研论文50余篇，教学研究论文3篇，获得专利4项。主编国家高等院校统编教材《马生产管理学》等3部。2次荣获省部级科学技术二等奖。</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lastRenderedPageBreak/>
        <w:t>自治区教学能手陈玲，汉族，中共党员，硕士，副教授，外语学院英语系系主任，高校教龄16年。主要从事英语专业综合英语、演讲艺术、表演课、综合技能、面试指导、研究生英语听说、雅思英语、少数民族学生基础英语等课程的</w:t>
      </w:r>
      <w:r>
        <w:rPr>
          <w:rFonts w:ascii="宋体" w:hAnsi="宋体" w:hint="eastAsia"/>
          <w:noProof/>
          <w:color w:val="000000"/>
          <w:kern w:val="0"/>
          <w:sz w:val="28"/>
          <w:szCs w:val="28"/>
        </w:rPr>
        <w:drawing>
          <wp:anchor distT="0" distB="0" distL="114300" distR="114300" simplePos="0" relativeHeight="251710464" behindDoc="0" locked="0" layoutInCell="1" allowOverlap="0">
            <wp:simplePos x="0" y="0"/>
            <wp:positionH relativeFrom="column">
              <wp:posOffset>71755</wp:posOffset>
            </wp:positionH>
            <wp:positionV relativeFrom="line">
              <wp:posOffset>428625</wp:posOffset>
            </wp:positionV>
            <wp:extent cx="5135880" cy="4168775"/>
            <wp:effectExtent l="0" t="0" r="0" b="0"/>
            <wp:wrapTopAndBottom/>
            <wp:docPr id="17" name="图片 17" descr="C:\Users\lenovo\AppData\Local\Temp\ksohtml\wps556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AppData\Local\Temp\ksohtml\wps5567.tmp.jpg"/>
                    <pic:cNvPicPr>
                      <a:picLocks noChangeAspect="1" noChangeArrowheads="1"/>
                    </pic:cNvPicPr>
                  </pic:nvPicPr>
                  <pic:blipFill>
                    <a:blip r:embed="rId13" cstate="print"/>
                    <a:srcRect/>
                    <a:stretch>
                      <a:fillRect/>
                    </a:stretch>
                  </pic:blipFill>
                  <pic:spPr>
                    <a:xfrm>
                      <a:off x="0" y="0"/>
                      <a:ext cx="5135880" cy="4168775"/>
                    </a:xfrm>
                    <a:prstGeom prst="rect">
                      <a:avLst/>
                    </a:prstGeom>
                    <a:noFill/>
                    <a:ln w="9525">
                      <a:noFill/>
                      <a:miter lim="800000"/>
                      <a:headEnd/>
                      <a:tailEnd/>
                    </a:ln>
                  </pic:spPr>
                </pic:pic>
              </a:graphicData>
            </a:graphic>
          </wp:anchor>
        </w:drawing>
      </w:r>
      <w:r>
        <w:rPr>
          <w:rFonts w:ascii="仿宋_GB2312" w:eastAsia="仿宋_GB2312" w:hint="eastAsia"/>
          <w:sz w:val="32"/>
          <w:szCs w:val="32"/>
        </w:rPr>
        <w:t>教学工作及少数民族教学、跨文化交际等领域的科研工作。</w:t>
      </w:r>
    </w:p>
    <w:p w:rsidR="00C47CD0" w:rsidRDefault="00081AE9">
      <w:pPr>
        <w:jc w:val="center"/>
        <w:rPr>
          <w:rFonts w:ascii="宋体" w:hAnsi="宋体"/>
          <w:b/>
          <w:sz w:val="28"/>
          <w:szCs w:val="28"/>
        </w:rPr>
      </w:pPr>
      <w:r>
        <w:rPr>
          <w:rFonts w:ascii="宋体" w:hAnsi="宋体" w:hint="eastAsia"/>
          <w:sz w:val="28"/>
          <w:szCs w:val="28"/>
        </w:rPr>
        <w:t xml:space="preserve">图2   </w:t>
      </w:r>
      <w:r>
        <w:rPr>
          <w:rFonts w:ascii="宋体" w:hAnsi="宋体" w:hint="eastAsia"/>
          <w:b/>
          <w:sz w:val="28"/>
          <w:szCs w:val="28"/>
        </w:rPr>
        <w:t>自治区教学能手陈玲</w:t>
      </w:r>
      <w:r>
        <w:rPr>
          <w:rFonts w:ascii="宋体" w:hAnsi="宋体"/>
          <w:b/>
          <w:sz w:val="28"/>
          <w:szCs w:val="28"/>
        </w:rPr>
        <w:t>副</w:t>
      </w:r>
      <w:r>
        <w:rPr>
          <w:rFonts w:ascii="宋体" w:hAnsi="宋体" w:hint="eastAsia"/>
          <w:b/>
          <w:sz w:val="28"/>
          <w:szCs w:val="28"/>
        </w:rPr>
        <w:t>教授（后排</w:t>
      </w:r>
      <w:r>
        <w:rPr>
          <w:rFonts w:ascii="宋体" w:hAnsi="宋体"/>
          <w:b/>
          <w:sz w:val="28"/>
          <w:szCs w:val="28"/>
        </w:rPr>
        <w:t>左一</w:t>
      </w:r>
      <w:r>
        <w:rPr>
          <w:rFonts w:ascii="宋体" w:hAnsi="宋体" w:hint="eastAsia"/>
          <w:b/>
          <w:sz w:val="28"/>
          <w:szCs w:val="28"/>
        </w:rPr>
        <w:t>）</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重视教研理论与教学实践紧密结合，教学与反思相结合，以教学带动科研，用科研促进教学，将教研贯穿于教学活动的各个环节。组建导师组和学生学习合作小组，积极组织并指导学生参与科学研究，鼓励学生参与研究性学习，完成一系列不同形式的学习任务及成果展示。重视实践教学，积极</w:t>
      </w:r>
      <w:r>
        <w:rPr>
          <w:rFonts w:ascii="仿宋_GB2312" w:eastAsia="仿宋_GB2312" w:hint="eastAsia"/>
          <w:sz w:val="32"/>
          <w:szCs w:val="32"/>
        </w:rPr>
        <w:lastRenderedPageBreak/>
        <w:t>参与实践基地建设、实践教学组织管理、实践教学考核工作。以竞赛带动实践教学，积极开展各类课外实践活动，激发学生思考和应用能力。重视自身教学能力的培养和提高，接受新型授课方式及教学理念，积极参与网络课程培训，2015年翻转课堂考试全校排名第2。</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主持完成自治区级课题1项、校级课题6项，参与教育部课题2项、省级课题4项、校级7项。指导国家级大学生创新项目1项、自治区级创新项目2项、校级创新项目7项。连续3年被评为学校暑期社会实践活动先进个人。2011年当选学校教学标兵、党员标兵，2012年被评为学校实践教学先进个人。2013年获得校级授课竞赛优秀奖和教书育人先进个人称号。先后获得全国高等院校英语教学精品课大赛一等奖、新疆农业大学教学成果奖三等奖（排名第一）、全国外语微课大赛新疆赛区二等奖、全国微课大赛新疆赛区二等奖等各类奖项30余项。发表教研论文14篇，其中核心2篇。指导校级优秀论文4篇，与学生合作公开发表论文1篇。</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自治区教学能手陈英杰，汉族，中共党员，硕士，副教授，水利学院建筑结构教研室主任，高校教龄14年。主要从事土木工程制图等本科专业基础课教学及学生生产实习、毕业设计的指导工作和建筑节能等领域的科研工作。</w:t>
      </w:r>
    </w:p>
    <w:p w:rsidR="00C47CD0" w:rsidRDefault="00C47CD0">
      <w:pPr>
        <w:jc w:val="center"/>
        <w:rPr>
          <w:rFonts w:ascii="宋体" w:hAnsi="宋体"/>
          <w:b/>
          <w:sz w:val="28"/>
          <w:szCs w:val="28"/>
        </w:rPr>
      </w:pPr>
    </w:p>
    <w:p w:rsidR="00C47CD0" w:rsidRDefault="00081AE9">
      <w:pPr>
        <w:jc w:val="center"/>
        <w:rPr>
          <w:rFonts w:ascii="仿宋_GB2312" w:eastAsia="仿宋_GB2312"/>
          <w:sz w:val="32"/>
          <w:szCs w:val="32"/>
        </w:rPr>
      </w:pPr>
      <w:r>
        <w:rPr>
          <w:rFonts w:ascii="宋体" w:hAnsi="宋体" w:hint="eastAsia"/>
          <w:noProof/>
          <w:color w:val="000000"/>
          <w:kern w:val="0"/>
          <w:sz w:val="28"/>
          <w:szCs w:val="28"/>
        </w:rPr>
        <w:lastRenderedPageBreak/>
        <w:drawing>
          <wp:anchor distT="0" distB="0" distL="114300" distR="114300" simplePos="0" relativeHeight="251712512" behindDoc="0" locked="0" layoutInCell="1" allowOverlap="0">
            <wp:simplePos x="0" y="0"/>
            <wp:positionH relativeFrom="column">
              <wp:posOffset>4445</wp:posOffset>
            </wp:positionH>
            <wp:positionV relativeFrom="line">
              <wp:posOffset>-6985</wp:posOffset>
            </wp:positionV>
            <wp:extent cx="5009515" cy="4182745"/>
            <wp:effectExtent l="0" t="0" r="0" b="0"/>
            <wp:wrapTopAndBottom/>
            <wp:docPr id="18" name="图片 18" descr="C:\Users\lenovo\AppData\Local\Temp\ksohtml\wps557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AppData\Local\Temp\ksohtml\wps5579.tmp.jpg"/>
                    <pic:cNvPicPr>
                      <a:picLocks noChangeAspect="1" noChangeArrowheads="1"/>
                    </pic:cNvPicPr>
                  </pic:nvPicPr>
                  <pic:blipFill>
                    <a:blip r:embed="rId14" cstate="print"/>
                    <a:srcRect/>
                    <a:stretch>
                      <a:fillRect/>
                    </a:stretch>
                  </pic:blipFill>
                  <pic:spPr>
                    <a:xfrm>
                      <a:off x="0" y="0"/>
                      <a:ext cx="5009515" cy="4182745"/>
                    </a:xfrm>
                    <a:prstGeom prst="rect">
                      <a:avLst/>
                    </a:prstGeom>
                    <a:noFill/>
                    <a:ln w="9525">
                      <a:noFill/>
                      <a:miter lim="800000"/>
                      <a:headEnd/>
                      <a:tailEnd/>
                    </a:ln>
                  </pic:spPr>
                </pic:pic>
              </a:graphicData>
            </a:graphic>
          </wp:anchor>
        </w:drawing>
      </w:r>
      <w:r>
        <w:rPr>
          <w:rFonts w:ascii="宋体" w:hAnsi="宋体" w:hint="eastAsia"/>
          <w:sz w:val="28"/>
          <w:szCs w:val="28"/>
        </w:rPr>
        <w:t xml:space="preserve">图3   </w:t>
      </w:r>
      <w:r>
        <w:rPr>
          <w:rFonts w:ascii="宋体" w:hAnsi="宋体" w:hint="eastAsia"/>
          <w:b/>
          <w:sz w:val="28"/>
          <w:szCs w:val="28"/>
        </w:rPr>
        <w:t>自治区教学能手陈英杰教授（右一）</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教学理论联系实际，注重学生综合素质和能力培养，善于将学科前沿发展成果、工程实例及教研成果融入到课堂教学中。根据土木工程专业应用型人才培养规范、培养方案及工程单位对专业技术人才的要求，积极开展教学方法、教学手段的研究及应用。根据民汉班级的接受程度将板书与多媒体课件适度结合。教学中积极探索及应用课程导入法、演示法、案例分析法、实训作业法、启发引导法等多种教学方法与授课形式，通过激情地讲授、洪亮的声音、与学生较多的互动吸引学生的注意力，以引导学生参赛为切入点强化授课效果。运用竞赛平台激发学生主动学习的积极性与创造性，</w:t>
      </w:r>
      <w:r>
        <w:rPr>
          <w:rFonts w:ascii="仿宋_GB2312" w:eastAsia="仿宋_GB2312" w:hint="eastAsia"/>
          <w:sz w:val="32"/>
          <w:szCs w:val="32"/>
        </w:rPr>
        <w:lastRenderedPageBreak/>
        <w:t>提升学生动手能力，培养学生素质。</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 xml:space="preserve"> 主持校级教研课题2项，发表教研论文5篇，指导自治区大学生创新项目1项、校级大学生创新项目2项，指导本科生发表科研论文3篇。主编十三五规划教材1部，副主编十二五规划教材2部、参编1部。先后组织6届校级AutoCAD、3D Max制图竞赛、2届校级先进图形技能竞赛。组织学生参加了一届全国大学生先进图形与创新技能大赛及5届全国高校BIM软件建模竞赛等。</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先后荣获自治区教学成果一等奖、中国高等学校水利专业教学成果二等奖、新疆农业大学教学成果奖（一等奖、二等奖各1项，三等奖2项），5次荣获全国大学生学科竞赛优秀指导教师奖。荣获全国多媒体课件比赛三等奖（自治区一等奖）、全国高校微课教学竞赛新疆区二等奖、三等奖及校级实践教学先进个人、授课竞赛优秀个人、先进工作者等荣誉。</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主持横向课题2项，参与国家级课题2项、省部级课题3项、厅局级课题1项，发表科研论文6篇。获授权外观设计专利2项，发明专利1项。</w:t>
      </w:r>
    </w:p>
    <w:p w:rsidR="00C47CD0" w:rsidRDefault="00081AE9">
      <w:pPr>
        <w:autoSpaceDE w:val="0"/>
        <w:autoSpaceDN w:val="0"/>
        <w:ind w:firstLineChars="200" w:firstLine="643"/>
        <w:jc w:val="left"/>
        <w:outlineLvl w:val="1"/>
        <w:rPr>
          <w:rFonts w:ascii="仿宋_GB2312" w:eastAsia="仿宋_GB2312"/>
          <w:b/>
          <w:sz w:val="32"/>
          <w:szCs w:val="32"/>
        </w:rPr>
      </w:pPr>
      <w:bookmarkStart w:id="53" w:name="_Toc435713878"/>
      <w:bookmarkStart w:id="54" w:name="_Toc435713785"/>
      <w:bookmarkStart w:id="55" w:name="_Toc402443401"/>
      <w:bookmarkStart w:id="56" w:name="_Toc402443156"/>
      <w:bookmarkStart w:id="57" w:name="_Toc402374103"/>
      <w:r>
        <w:rPr>
          <w:rFonts w:ascii="仿宋_GB2312" w:eastAsia="仿宋_GB2312" w:hint="eastAsia"/>
          <w:b/>
          <w:sz w:val="32"/>
          <w:szCs w:val="32"/>
        </w:rPr>
        <w:t>（三）教学经费投入情况</w:t>
      </w:r>
      <w:bookmarkEnd w:id="53"/>
      <w:bookmarkEnd w:id="54"/>
      <w:bookmarkEnd w:id="55"/>
      <w:bookmarkEnd w:id="56"/>
      <w:bookmarkEnd w:id="57"/>
    </w:p>
    <w:p w:rsidR="00C47CD0" w:rsidRDefault="00081AE9">
      <w:pPr>
        <w:ind w:firstLineChars="200" w:firstLine="640"/>
        <w:rPr>
          <w:rFonts w:ascii="仿宋_GB2312" w:eastAsia="仿宋_GB2312" w:hAnsi="宋体"/>
          <w:kern w:val="0"/>
          <w:sz w:val="32"/>
          <w:szCs w:val="32"/>
        </w:rPr>
      </w:pPr>
      <w:bookmarkStart w:id="58" w:name="_Toc402374104"/>
      <w:r>
        <w:rPr>
          <w:rFonts w:ascii="仿宋_GB2312" w:eastAsia="仿宋_GB2312" w:hAnsi="宋体" w:hint="eastAsia"/>
          <w:kern w:val="0"/>
          <w:sz w:val="32"/>
          <w:szCs w:val="32"/>
        </w:rPr>
        <w:t>201</w:t>
      </w:r>
      <w:r>
        <w:rPr>
          <w:rFonts w:ascii="仿宋_GB2312" w:eastAsia="仿宋_GB2312" w:hAnsi="宋体"/>
          <w:kern w:val="0"/>
          <w:sz w:val="32"/>
          <w:szCs w:val="32"/>
        </w:rPr>
        <w:t>5</w:t>
      </w:r>
      <w:r>
        <w:rPr>
          <w:rFonts w:ascii="仿宋_GB2312" w:eastAsia="仿宋_GB2312" w:hAnsi="宋体" w:hint="eastAsia"/>
          <w:kern w:val="0"/>
          <w:sz w:val="32"/>
          <w:szCs w:val="32"/>
        </w:rPr>
        <w:t>年学校总收入</w:t>
      </w:r>
      <w:r>
        <w:rPr>
          <w:rFonts w:ascii="仿宋_GB2312" w:eastAsia="仿宋_GB2312" w:hAnsi="宋体"/>
          <w:kern w:val="0"/>
          <w:sz w:val="32"/>
          <w:szCs w:val="32"/>
        </w:rPr>
        <w:t>58416.57</w:t>
      </w:r>
      <w:r>
        <w:rPr>
          <w:rFonts w:ascii="仿宋_GB2312" w:eastAsia="仿宋_GB2312" w:hAnsi="宋体" w:hint="eastAsia"/>
          <w:kern w:val="0"/>
          <w:sz w:val="32"/>
          <w:szCs w:val="32"/>
        </w:rPr>
        <w:t>万元，投入本科教学日常运行经费</w:t>
      </w:r>
      <w:r>
        <w:rPr>
          <w:rFonts w:ascii="仿宋_GB2312" w:eastAsia="仿宋_GB2312" w:hAnsi="宋体"/>
          <w:kern w:val="0"/>
          <w:sz w:val="32"/>
          <w:szCs w:val="32"/>
        </w:rPr>
        <w:t>3083.06</w:t>
      </w:r>
      <w:r>
        <w:rPr>
          <w:rFonts w:ascii="仿宋_GB2312" w:eastAsia="仿宋_GB2312" w:hAnsi="宋体" w:hint="eastAsia"/>
          <w:kern w:val="0"/>
          <w:sz w:val="32"/>
          <w:szCs w:val="32"/>
        </w:rPr>
        <w:t>万元，学生生均教学经费投入</w:t>
      </w:r>
      <w:r>
        <w:rPr>
          <w:rFonts w:ascii="仿宋_GB2312" w:eastAsia="仿宋_GB2312" w:hAnsi="宋体"/>
          <w:kern w:val="0"/>
          <w:sz w:val="32"/>
          <w:szCs w:val="32"/>
        </w:rPr>
        <w:t>2091</w:t>
      </w:r>
      <w:r>
        <w:rPr>
          <w:rFonts w:ascii="仿宋_GB2312" w:eastAsia="仿宋_GB2312" w:hAnsi="宋体" w:hint="eastAsia"/>
          <w:kern w:val="0"/>
          <w:sz w:val="32"/>
          <w:szCs w:val="32"/>
        </w:rPr>
        <w:t>元，本科实验、实习经费投入</w:t>
      </w:r>
      <w:r>
        <w:rPr>
          <w:rFonts w:ascii="仿宋_GB2312" w:eastAsia="仿宋_GB2312" w:hAnsi="宋体"/>
          <w:kern w:val="0"/>
          <w:sz w:val="32"/>
          <w:szCs w:val="32"/>
        </w:rPr>
        <w:t>322.6</w:t>
      </w:r>
      <w:r>
        <w:rPr>
          <w:rFonts w:ascii="仿宋_GB2312" w:eastAsia="仿宋_GB2312" w:hAnsi="宋体" w:hint="eastAsia"/>
          <w:kern w:val="0"/>
          <w:sz w:val="32"/>
          <w:szCs w:val="32"/>
        </w:rPr>
        <w:t>万元，生均</w:t>
      </w:r>
      <w:r>
        <w:rPr>
          <w:rFonts w:ascii="仿宋_GB2312" w:eastAsia="仿宋_GB2312" w:hAnsi="宋体"/>
          <w:kern w:val="0"/>
          <w:sz w:val="32"/>
          <w:szCs w:val="32"/>
        </w:rPr>
        <w:t>211</w:t>
      </w:r>
      <w:r>
        <w:rPr>
          <w:rFonts w:ascii="仿宋_GB2312" w:eastAsia="仿宋_GB2312" w:hAnsi="宋体" w:hint="eastAsia"/>
          <w:kern w:val="0"/>
          <w:sz w:val="32"/>
          <w:szCs w:val="32"/>
        </w:rPr>
        <w:t>元。201</w:t>
      </w:r>
      <w:r>
        <w:rPr>
          <w:rFonts w:ascii="仿宋_GB2312" w:eastAsia="仿宋_GB2312" w:hAnsi="宋体"/>
          <w:kern w:val="0"/>
          <w:sz w:val="32"/>
          <w:szCs w:val="32"/>
        </w:rPr>
        <w:t>5</w:t>
      </w:r>
      <w:r>
        <w:rPr>
          <w:rFonts w:ascii="仿宋_GB2312" w:eastAsia="仿宋_GB2312" w:hAnsi="宋体" w:hint="eastAsia"/>
          <w:kern w:val="0"/>
          <w:sz w:val="32"/>
          <w:szCs w:val="32"/>
        </w:rPr>
        <w:t>年</w:t>
      </w:r>
      <w:r>
        <w:rPr>
          <w:rFonts w:ascii="仿宋_GB2312" w:eastAsia="仿宋_GB2312" w:hAnsi="宋体" w:hint="eastAsia"/>
          <w:kern w:val="0"/>
          <w:sz w:val="32"/>
          <w:szCs w:val="32"/>
        </w:rPr>
        <w:lastRenderedPageBreak/>
        <w:t>本科专项教学经费</w:t>
      </w:r>
      <w:r>
        <w:rPr>
          <w:rFonts w:ascii="仿宋_GB2312" w:eastAsia="仿宋_GB2312" w:hAnsi="宋体"/>
          <w:kern w:val="0"/>
          <w:sz w:val="32"/>
          <w:szCs w:val="32"/>
        </w:rPr>
        <w:t>1192.99</w:t>
      </w:r>
      <w:r>
        <w:rPr>
          <w:rFonts w:ascii="仿宋_GB2312" w:eastAsia="仿宋_GB2312" w:hAnsi="宋体" w:hint="eastAsia"/>
          <w:kern w:val="0"/>
          <w:sz w:val="32"/>
          <w:szCs w:val="32"/>
        </w:rPr>
        <w:t>万元。</w:t>
      </w:r>
      <w:bookmarkEnd w:id="58"/>
    </w:p>
    <w:p w:rsidR="00C47CD0" w:rsidRDefault="00081AE9">
      <w:pPr>
        <w:autoSpaceDE w:val="0"/>
        <w:autoSpaceDN w:val="0"/>
        <w:ind w:firstLineChars="200" w:firstLine="643"/>
        <w:jc w:val="left"/>
        <w:outlineLvl w:val="1"/>
        <w:rPr>
          <w:rFonts w:ascii="仿宋_GB2312" w:eastAsia="仿宋_GB2312"/>
          <w:b/>
          <w:sz w:val="32"/>
          <w:szCs w:val="32"/>
        </w:rPr>
      </w:pPr>
      <w:bookmarkStart w:id="59" w:name="_Toc402443402"/>
      <w:bookmarkStart w:id="60" w:name="_Toc435713786"/>
      <w:bookmarkStart w:id="61" w:name="_Toc435713879"/>
      <w:bookmarkStart w:id="62" w:name="_Toc402374105"/>
      <w:bookmarkStart w:id="63" w:name="_Toc402443157"/>
      <w:r>
        <w:rPr>
          <w:rFonts w:ascii="仿宋_GB2312" w:eastAsia="仿宋_GB2312" w:hint="eastAsia"/>
          <w:b/>
          <w:sz w:val="32"/>
          <w:szCs w:val="32"/>
        </w:rPr>
        <w:t>（四）校舍情况</w:t>
      </w:r>
      <w:bookmarkEnd w:id="59"/>
      <w:bookmarkEnd w:id="60"/>
      <w:bookmarkEnd w:id="61"/>
      <w:bookmarkEnd w:id="62"/>
      <w:bookmarkEnd w:id="63"/>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学校总占地面积5628亩，其中校本部占地面积1496亩，小地窝堡57亩，三坪校区占地面积4075亩。另有南山实习林场66392亩。</w:t>
      </w:r>
    </w:p>
    <w:p w:rsidR="00C47CD0" w:rsidRDefault="00081AE9">
      <w:pPr>
        <w:ind w:firstLineChars="200" w:firstLine="640"/>
        <w:rPr>
          <w:rFonts w:ascii="仿宋_GB2312" w:eastAsia="仿宋_GB2312"/>
          <w:sz w:val="32"/>
          <w:szCs w:val="32"/>
        </w:rPr>
      </w:pPr>
      <w:r w:rsidRPr="00BF7EAA">
        <w:rPr>
          <w:rFonts w:ascii="仿宋_GB2312" w:eastAsia="仿宋_GB2312" w:hAnsi="Calibri" w:hint="eastAsia"/>
          <w:sz w:val="32"/>
          <w:szCs w:val="32"/>
        </w:rPr>
        <w:t>学校拥有教学行政用房面积</w:t>
      </w:r>
      <w:r w:rsidR="006809F8" w:rsidRPr="00BF7EAA">
        <w:rPr>
          <w:rFonts w:ascii="仿宋_GB2312" w:eastAsia="仿宋_GB2312" w:hAnsi="Calibri"/>
          <w:sz w:val="32"/>
          <w:szCs w:val="32"/>
        </w:rPr>
        <w:t>291935.72</w:t>
      </w:r>
      <w:r w:rsidRPr="00BF7EAA">
        <w:rPr>
          <w:rFonts w:ascii="仿宋_GB2312" w:eastAsia="仿宋_GB2312" w:hAnsi="Calibri" w:hint="eastAsia"/>
          <w:sz w:val="32"/>
          <w:szCs w:val="32"/>
        </w:rPr>
        <w:t>平方米，其中教学科研及辅助用房面积</w:t>
      </w:r>
      <w:r w:rsidR="006809F8" w:rsidRPr="00BF7EAA">
        <w:rPr>
          <w:rFonts w:ascii="仿宋_GB2312" w:eastAsia="仿宋_GB2312" w:hAnsi="Calibri"/>
          <w:sz w:val="32"/>
          <w:szCs w:val="32"/>
        </w:rPr>
        <w:t>239253.59</w:t>
      </w:r>
      <w:r w:rsidRPr="00BF7EAA">
        <w:rPr>
          <w:rFonts w:ascii="仿宋_GB2312" w:eastAsia="仿宋_GB2312" w:hAnsi="Calibri" w:hint="eastAsia"/>
          <w:sz w:val="32"/>
          <w:szCs w:val="32"/>
        </w:rPr>
        <w:t>平方米，行政用房面积</w:t>
      </w:r>
      <w:r w:rsidR="006809F8" w:rsidRPr="00BF7EAA">
        <w:rPr>
          <w:rFonts w:ascii="仿宋_GB2312" w:eastAsia="仿宋_GB2312" w:hAnsi="Calibri"/>
          <w:sz w:val="32"/>
          <w:szCs w:val="32"/>
        </w:rPr>
        <w:t>52682.13</w:t>
      </w:r>
      <w:r w:rsidRPr="00BF7EAA">
        <w:rPr>
          <w:rFonts w:ascii="仿宋_GB2312" w:eastAsia="仿宋_GB2312" w:hAnsi="Calibri" w:hint="eastAsia"/>
          <w:sz w:val="32"/>
          <w:szCs w:val="32"/>
        </w:rPr>
        <w:t>平方米，生均教学行政用房</w:t>
      </w:r>
      <w:r w:rsidR="00BC7BE0" w:rsidRPr="00BF7EAA">
        <w:rPr>
          <w:rFonts w:ascii="仿宋_GB2312" w:eastAsia="仿宋_GB2312" w:hAnsi="Calibri"/>
          <w:sz w:val="32"/>
          <w:szCs w:val="32"/>
        </w:rPr>
        <w:t>16.75</w:t>
      </w:r>
      <w:r w:rsidRPr="00BF7EAA">
        <w:rPr>
          <w:rFonts w:ascii="仿宋_GB2312" w:eastAsia="仿宋_GB2312" w:hAnsi="Calibri" w:hint="eastAsia"/>
          <w:sz w:val="32"/>
          <w:szCs w:val="32"/>
        </w:rPr>
        <w:t>平方米，实验室、实习场所用房面积</w:t>
      </w:r>
      <w:r w:rsidR="006809F8" w:rsidRPr="00BF7EAA">
        <w:rPr>
          <w:rFonts w:ascii="仿宋_GB2312" w:eastAsia="仿宋_GB2312" w:hAnsi="Calibri"/>
          <w:sz w:val="32"/>
          <w:szCs w:val="32"/>
        </w:rPr>
        <w:t>65334.59</w:t>
      </w:r>
      <w:r w:rsidRPr="00BF7EAA">
        <w:rPr>
          <w:rFonts w:ascii="仿宋_GB2312" w:eastAsia="仿宋_GB2312" w:hAnsi="Calibri" w:hint="eastAsia"/>
          <w:sz w:val="32"/>
          <w:szCs w:val="32"/>
        </w:rPr>
        <w:t>平方米，生均实验室实习场所面积3</w:t>
      </w:r>
      <w:r w:rsidR="006809F8" w:rsidRPr="00BF7EAA">
        <w:rPr>
          <w:rFonts w:ascii="仿宋_GB2312" w:eastAsia="仿宋_GB2312" w:hAnsi="Calibri"/>
          <w:sz w:val="32"/>
          <w:szCs w:val="32"/>
        </w:rPr>
        <w:t>.</w:t>
      </w:r>
      <w:r w:rsidR="00BC7BE0" w:rsidRPr="00BF7EAA">
        <w:rPr>
          <w:rFonts w:ascii="仿宋_GB2312" w:eastAsia="仿宋_GB2312" w:hAnsi="Calibri"/>
          <w:sz w:val="32"/>
          <w:szCs w:val="32"/>
        </w:rPr>
        <w:t>75</w:t>
      </w:r>
      <w:r w:rsidRPr="00BF7EAA">
        <w:rPr>
          <w:rFonts w:ascii="仿宋_GB2312" w:eastAsia="仿宋_GB2312" w:hAnsi="Calibri" w:hint="eastAsia"/>
          <w:sz w:val="32"/>
          <w:szCs w:val="32"/>
        </w:rPr>
        <w:t>平方米。学校现</w:t>
      </w:r>
      <w:r w:rsidRPr="00BF7EAA">
        <w:rPr>
          <w:rFonts w:ascii="仿宋_GB2312" w:eastAsia="仿宋_GB2312" w:hint="eastAsia"/>
          <w:sz w:val="32"/>
          <w:szCs w:val="32"/>
        </w:rPr>
        <w:t>有</w:t>
      </w:r>
      <w:r>
        <w:rPr>
          <w:rFonts w:ascii="仿宋_GB2312" w:eastAsia="仿宋_GB2312" w:hint="eastAsia"/>
          <w:sz w:val="32"/>
          <w:szCs w:val="32"/>
        </w:rPr>
        <w:t>学生公寓20幢，面积143030平方米。学生食堂建筑面积31768平米。办公用房建筑面积9584平米。</w:t>
      </w:r>
    </w:p>
    <w:p w:rsidR="00C47CD0" w:rsidRDefault="00081AE9">
      <w:pPr>
        <w:autoSpaceDE w:val="0"/>
        <w:autoSpaceDN w:val="0"/>
        <w:ind w:firstLineChars="200" w:firstLine="643"/>
        <w:jc w:val="left"/>
        <w:outlineLvl w:val="1"/>
        <w:rPr>
          <w:rFonts w:ascii="仿宋_GB2312" w:eastAsia="仿宋_GB2312"/>
          <w:b/>
          <w:sz w:val="32"/>
          <w:szCs w:val="32"/>
        </w:rPr>
      </w:pPr>
      <w:bookmarkStart w:id="64" w:name="_Toc435713787"/>
      <w:bookmarkStart w:id="65" w:name="_Toc435713880"/>
      <w:bookmarkStart w:id="66" w:name="_Toc402374106"/>
      <w:bookmarkStart w:id="67" w:name="_Toc402443403"/>
      <w:bookmarkStart w:id="68" w:name="_Toc402443158"/>
      <w:r>
        <w:rPr>
          <w:rFonts w:ascii="仿宋_GB2312" w:eastAsia="仿宋_GB2312" w:hint="eastAsia"/>
          <w:b/>
          <w:sz w:val="32"/>
          <w:szCs w:val="32"/>
        </w:rPr>
        <w:t>（五）图书馆情况</w:t>
      </w:r>
      <w:bookmarkEnd w:id="64"/>
      <w:bookmarkEnd w:id="65"/>
      <w:bookmarkEnd w:id="66"/>
      <w:bookmarkEnd w:id="67"/>
      <w:bookmarkEnd w:id="68"/>
    </w:p>
    <w:p w:rsidR="00C47CD0" w:rsidRDefault="00081AE9">
      <w:pPr>
        <w:spacing w:line="360" w:lineRule="auto"/>
        <w:ind w:firstLineChars="200" w:firstLine="640"/>
        <w:rPr>
          <w:rFonts w:ascii="仿宋_GB2312" w:eastAsia="仿宋_GB2312" w:hAnsi="Calibri"/>
          <w:sz w:val="32"/>
          <w:szCs w:val="32"/>
        </w:rPr>
      </w:pPr>
      <w:bookmarkStart w:id="69" w:name="_Toc402443404"/>
      <w:bookmarkStart w:id="70" w:name="_Toc402443159"/>
      <w:bookmarkStart w:id="71" w:name="_Toc402374107"/>
      <w:r>
        <w:rPr>
          <w:rFonts w:ascii="仿宋_GB2312" w:eastAsia="仿宋_GB2312" w:hAnsi="Calibri" w:hint="eastAsia"/>
          <w:sz w:val="32"/>
          <w:szCs w:val="32"/>
        </w:rPr>
        <w:t>学校图书馆馆舍面积近1.2万平方米，藏书体系以农业科学、生物科学为重点，涵盖农、理、工、经、管、文、法等学科，并重视收藏我国西北地区与中亚地区农业及相关学科文献。已经形成多层次、全方位、开放式的文献服务体系，面向校内外读者和科研人员提供书刊借阅、多媒体电子阅览、信息咨询、馆际互借、原文传递、科技查新、查收查引等服务。建有“新疆农业大学博硕士论文全文数据库”、“新疆农业大学教学标本数据库”等2个自建数据库，</w:t>
      </w:r>
      <w:r w:rsidRPr="0008647F">
        <w:rPr>
          <w:rFonts w:ascii="仿宋_GB2312" w:eastAsia="仿宋_GB2312" w:hAnsi="Calibri" w:hint="eastAsia"/>
          <w:sz w:val="32"/>
          <w:szCs w:val="32"/>
        </w:rPr>
        <w:t>现有印刷本藏书</w:t>
      </w:r>
      <w:r w:rsidR="00EC356C" w:rsidRPr="0008647F">
        <w:rPr>
          <w:rFonts w:ascii="仿宋_GB2312" w:eastAsia="仿宋_GB2312" w:hAnsi="Calibri"/>
          <w:sz w:val="32"/>
          <w:szCs w:val="32"/>
        </w:rPr>
        <w:t>119.0454</w:t>
      </w:r>
      <w:r w:rsidR="0008647F" w:rsidRPr="0008647F">
        <w:rPr>
          <w:rFonts w:ascii="仿宋_GB2312" w:eastAsia="仿宋_GB2312" w:hAnsi="Calibri" w:hint="eastAsia"/>
          <w:sz w:val="32"/>
          <w:szCs w:val="32"/>
        </w:rPr>
        <w:t>万册</w:t>
      </w:r>
      <w:r w:rsidRPr="0008647F">
        <w:rPr>
          <w:rFonts w:ascii="仿宋_GB2312" w:eastAsia="仿宋_GB2312" w:hAnsi="Calibri" w:hint="eastAsia"/>
          <w:sz w:val="32"/>
          <w:szCs w:val="32"/>
        </w:rPr>
        <w:t>。拥有中外文网络数据</w:t>
      </w:r>
      <w:r>
        <w:rPr>
          <w:rFonts w:ascii="仿宋_GB2312" w:eastAsia="仿宋_GB2312" w:hAnsi="Calibri" w:hint="eastAsia"/>
          <w:sz w:val="32"/>
          <w:szCs w:val="32"/>
        </w:rPr>
        <w:t>库13个，其中中文</w:t>
      </w:r>
      <w:r>
        <w:rPr>
          <w:rFonts w:ascii="仿宋_GB2312" w:eastAsia="仿宋_GB2312" w:hAnsi="Calibri" w:hint="eastAsia"/>
          <w:sz w:val="32"/>
          <w:szCs w:val="32"/>
        </w:rPr>
        <w:lastRenderedPageBreak/>
        <w:t>网络数据库6个，包含电子全文期刊8207种；外文网络数据库7个，包含外文电子全文期刊6016种；拥有Dialog（国际联机检索系统）数据库。电子图书3.54万种，光盘7683张，录音录像带573盒。</w:t>
      </w:r>
    </w:p>
    <w:p w:rsidR="00C47CD0" w:rsidRDefault="00081AE9">
      <w:pPr>
        <w:ind w:firstLineChars="200" w:firstLine="640"/>
        <w:rPr>
          <w:rFonts w:ascii="仿宋_GB2312" w:eastAsia="仿宋_GB2312" w:hAnsi="Calibri"/>
          <w:sz w:val="32"/>
          <w:szCs w:val="32"/>
        </w:rPr>
      </w:pPr>
      <w:r>
        <w:rPr>
          <w:rFonts w:ascii="仿宋_GB2312" w:eastAsia="仿宋_GB2312" w:hAnsi="Calibri" w:hint="eastAsia"/>
          <w:sz w:val="32"/>
          <w:szCs w:val="32"/>
        </w:rPr>
        <w:t>除提高实体文献资源的保障率外，图书馆还非常注重与国内同行的资源共享合作以及虚拟资源的开发利用，先后与CALIS(中国高等教育文献保障系统)、CASHL（中国高校人文社会科学文献中心）、中国农业大学、南京农业大学、新疆大学等单位签订了文献传递协议，与中国科学院合作完成《全国中西日俄文期刊联合目录》，与CALIS农学中心合作完成了《全国农业院校图书馆联合目录》等共建共享资源，与新疆大学等11所疆内院校图书馆建立了馆际互借关系。</w:t>
      </w:r>
    </w:p>
    <w:p w:rsidR="00C47CD0" w:rsidRDefault="00081AE9">
      <w:pPr>
        <w:autoSpaceDE w:val="0"/>
        <w:autoSpaceDN w:val="0"/>
        <w:ind w:firstLineChars="200" w:firstLine="643"/>
        <w:jc w:val="left"/>
        <w:outlineLvl w:val="1"/>
        <w:rPr>
          <w:rFonts w:ascii="仿宋_GB2312" w:eastAsia="仿宋_GB2312"/>
          <w:b/>
          <w:color w:val="000000" w:themeColor="text1"/>
          <w:sz w:val="32"/>
          <w:szCs w:val="32"/>
        </w:rPr>
      </w:pPr>
      <w:bookmarkStart w:id="72" w:name="_Toc435713881"/>
      <w:bookmarkStart w:id="73" w:name="_Toc435713788"/>
      <w:r>
        <w:rPr>
          <w:rFonts w:ascii="仿宋_GB2312" w:eastAsia="仿宋_GB2312" w:hint="eastAsia"/>
          <w:b/>
          <w:color w:val="000000" w:themeColor="text1"/>
          <w:sz w:val="32"/>
          <w:szCs w:val="32"/>
        </w:rPr>
        <w:t>（六）实验室、实习基地建设情况</w:t>
      </w:r>
      <w:bookmarkEnd w:id="69"/>
      <w:bookmarkEnd w:id="70"/>
      <w:bookmarkEnd w:id="71"/>
      <w:bookmarkEnd w:id="72"/>
      <w:bookmarkEnd w:id="73"/>
    </w:p>
    <w:p w:rsidR="00C47CD0" w:rsidRDefault="00081AE9">
      <w:pPr>
        <w:ind w:firstLineChars="196" w:firstLine="627"/>
        <w:rPr>
          <w:rFonts w:ascii="仿宋_GB2312" w:eastAsia="仿宋_GB2312" w:hAnsi="Calibri"/>
          <w:sz w:val="32"/>
          <w:szCs w:val="32"/>
        </w:rPr>
      </w:pPr>
      <w:bookmarkStart w:id="74" w:name="_Toc402443405"/>
      <w:bookmarkStart w:id="75" w:name="_Toc402374109"/>
      <w:bookmarkStart w:id="76" w:name="_Toc402443160"/>
      <w:bookmarkStart w:id="77" w:name="_Toc435713789"/>
      <w:bookmarkStart w:id="78" w:name="_Toc435713882"/>
      <w:r>
        <w:rPr>
          <w:rFonts w:ascii="仿宋_GB2312" w:eastAsia="仿宋_GB2312" w:hAnsi="Calibri" w:hint="eastAsia"/>
          <w:sz w:val="32"/>
          <w:szCs w:val="32"/>
        </w:rPr>
        <w:t>1、实验室建设</w:t>
      </w:r>
      <w:r>
        <w:rPr>
          <w:rFonts w:ascii="仿宋_GB2312" w:eastAsia="仿宋_GB2312" w:hAnsi="Calibri"/>
          <w:sz w:val="32"/>
          <w:szCs w:val="32"/>
        </w:rPr>
        <w:t>和管理方面</w:t>
      </w:r>
    </w:p>
    <w:p w:rsidR="00C47CD0" w:rsidRDefault="00081AE9">
      <w:pPr>
        <w:ind w:firstLineChars="196" w:firstLine="627"/>
        <w:rPr>
          <w:rFonts w:ascii="仿宋_GB2312" w:eastAsia="仿宋_GB2312" w:hAnsi="Calibri"/>
          <w:sz w:val="32"/>
          <w:szCs w:val="32"/>
        </w:rPr>
      </w:pPr>
      <w:r>
        <w:rPr>
          <w:rFonts w:ascii="仿宋_GB2312" w:eastAsia="仿宋_GB2312" w:hAnsi="Calibri" w:hint="eastAsia"/>
          <w:sz w:val="32"/>
          <w:szCs w:val="32"/>
        </w:rPr>
        <w:t>不断加大实验室建设投入力度。2015年在对全校本科教学实验仪器设备现状进行摸底分析、调研论证的基础上，学校投入620多万元购置了本科教学急需实验仪器设备。为农科楼配备了实验台、“四防门”等。学校实验室整体装备水平、环境条件得到了较大改善，综合实力不断提高。2015年教学科研仪器设备总值达23893.89万元，20118台件。</w:t>
      </w:r>
    </w:p>
    <w:p w:rsidR="00C47CD0" w:rsidRDefault="00081AE9">
      <w:pPr>
        <w:ind w:firstLineChars="196" w:firstLine="627"/>
        <w:rPr>
          <w:rFonts w:ascii="仿宋_GB2312" w:eastAsia="仿宋_GB2312" w:hAnsi="Calibri"/>
          <w:sz w:val="32"/>
          <w:szCs w:val="32"/>
        </w:rPr>
      </w:pPr>
      <w:r>
        <w:rPr>
          <w:rFonts w:ascii="仿宋_GB2312" w:eastAsia="仿宋_GB2312" w:hAnsi="Calibri" w:hint="eastAsia"/>
          <w:sz w:val="32"/>
          <w:szCs w:val="32"/>
        </w:rPr>
        <w:t>立项建设校级实验室建设与管理项目</w:t>
      </w:r>
      <w:r>
        <w:rPr>
          <w:rFonts w:ascii="仿宋_GB2312" w:eastAsia="仿宋_GB2312" w:hAnsi="Calibri"/>
          <w:sz w:val="32"/>
          <w:szCs w:val="32"/>
        </w:rPr>
        <w:t>59</w:t>
      </w:r>
      <w:r>
        <w:rPr>
          <w:rFonts w:ascii="仿宋_GB2312" w:eastAsia="仿宋_GB2312" w:hAnsi="Calibri" w:hint="eastAsia"/>
          <w:sz w:val="32"/>
          <w:szCs w:val="32"/>
        </w:rPr>
        <w:t>项，支持经费共计</w:t>
      </w:r>
      <w:r>
        <w:rPr>
          <w:rFonts w:ascii="仿宋_GB2312" w:eastAsia="仿宋_GB2312" w:hAnsi="Calibri"/>
          <w:sz w:val="32"/>
          <w:szCs w:val="32"/>
        </w:rPr>
        <w:t>10</w:t>
      </w:r>
      <w:r>
        <w:rPr>
          <w:rFonts w:ascii="仿宋_GB2312" w:eastAsia="仿宋_GB2312" w:hAnsi="Calibri" w:hint="eastAsia"/>
          <w:sz w:val="32"/>
          <w:szCs w:val="32"/>
        </w:rPr>
        <w:t>.</w:t>
      </w:r>
      <w:r>
        <w:rPr>
          <w:rFonts w:ascii="仿宋_GB2312" w:eastAsia="仿宋_GB2312" w:hAnsi="Calibri"/>
          <w:sz w:val="32"/>
          <w:szCs w:val="32"/>
        </w:rPr>
        <w:t>85万</w:t>
      </w:r>
      <w:r>
        <w:rPr>
          <w:rFonts w:ascii="仿宋_GB2312" w:eastAsia="仿宋_GB2312" w:hAnsi="Calibri" w:hint="eastAsia"/>
          <w:sz w:val="32"/>
          <w:szCs w:val="32"/>
        </w:rPr>
        <w:t>元。为推动我校大型仪器设备开放共享工作，</w:t>
      </w:r>
      <w:r>
        <w:rPr>
          <w:rFonts w:ascii="仿宋_GB2312" w:eastAsia="仿宋_GB2312" w:hAnsi="Calibri" w:hint="eastAsia"/>
          <w:sz w:val="32"/>
          <w:szCs w:val="32"/>
        </w:rPr>
        <w:lastRenderedPageBreak/>
        <w:t>充分利用和挖掘大型设备功能，设立大型仪器设备新功能开发项目</w:t>
      </w:r>
      <w:r>
        <w:rPr>
          <w:rFonts w:ascii="仿宋_GB2312" w:eastAsia="仿宋_GB2312" w:hAnsi="Calibri"/>
          <w:sz w:val="32"/>
          <w:szCs w:val="32"/>
        </w:rPr>
        <w:t>18</w:t>
      </w:r>
      <w:r>
        <w:rPr>
          <w:rFonts w:ascii="仿宋_GB2312" w:eastAsia="仿宋_GB2312" w:hAnsi="Calibri" w:hint="eastAsia"/>
          <w:sz w:val="32"/>
          <w:szCs w:val="32"/>
        </w:rPr>
        <w:t>项，支持经费共计</w:t>
      </w:r>
      <w:r>
        <w:rPr>
          <w:rFonts w:ascii="仿宋_GB2312" w:eastAsia="仿宋_GB2312" w:hAnsi="Calibri"/>
          <w:sz w:val="32"/>
          <w:szCs w:val="32"/>
        </w:rPr>
        <w:t>8</w:t>
      </w:r>
      <w:r>
        <w:rPr>
          <w:rFonts w:ascii="仿宋_GB2312" w:eastAsia="仿宋_GB2312" w:hAnsi="Calibri" w:hint="eastAsia"/>
          <w:sz w:val="32"/>
          <w:szCs w:val="32"/>
        </w:rPr>
        <w:t>.</w:t>
      </w:r>
      <w:r>
        <w:rPr>
          <w:rFonts w:ascii="仿宋_GB2312" w:eastAsia="仿宋_GB2312" w:hAnsi="Calibri"/>
          <w:sz w:val="32"/>
          <w:szCs w:val="32"/>
        </w:rPr>
        <w:t>1万</w:t>
      </w:r>
      <w:r>
        <w:rPr>
          <w:rFonts w:ascii="仿宋_GB2312" w:eastAsia="仿宋_GB2312" w:hAnsi="Calibri" w:hint="eastAsia"/>
          <w:sz w:val="32"/>
          <w:szCs w:val="32"/>
        </w:rPr>
        <w:t>元。投入教学科研仪器设备维修经费达</w:t>
      </w:r>
      <w:r>
        <w:rPr>
          <w:rFonts w:ascii="仿宋_GB2312" w:eastAsia="仿宋_GB2312" w:hAnsi="Calibri"/>
          <w:sz w:val="32"/>
          <w:szCs w:val="32"/>
        </w:rPr>
        <w:t>64.9</w:t>
      </w:r>
      <w:r>
        <w:rPr>
          <w:rFonts w:ascii="仿宋_GB2312" w:eastAsia="仿宋_GB2312" w:hAnsi="Calibri" w:hint="eastAsia"/>
          <w:sz w:val="32"/>
          <w:szCs w:val="32"/>
        </w:rPr>
        <w:t>万元，提高了学校仪器设备的完好率和使用率。</w:t>
      </w:r>
    </w:p>
    <w:p w:rsidR="00C47CD0" w:rsidRDefault="00081AE9">
      <w:pPr>
        <w:ind w:firstLineChars="196" w:firstLine="627"/>
        <w:rPr>
          <w:rFonts w:ascii="仿宋_GB2312" w:eastAsia="仿宋_GB2312" w:hAnsi="Calibri"/>
          <w:sz w:val="32"/>
          <w:szCs w:val="32"/>
        </w:rPr>
      </w:pPr>
      <w:r>
        <w:rPr>
          <w:rFonts w:ascii="仿宋_GB2312" w:eastAsia="仿宋_GB2312" w:hAnsi="Calibri" w:hint="eastAsia"/>
          <w:sz w:val="32"/>
          <w:szCs w:val="32"/>
        </w:rPr>
        <w:t>不断加强实验室的管理与建设。 “林果实验教学中心”与“现代农业装备实验教学中心”于</w:t>
      </w:r>
      <w:r>
        <w:rPr>
          <w:rFonts w:ascii="仿宋_GB2312" w:eastAsia="仿宋_GB2312" w:hAnsi="Calibri"/>
          <w:sz w:val="32"/>
          <w:szCs w:val="32"/>
        </w:rPr>
        <w:t>2015</w:t>
      </w:r>
      <w:r>
        <w:rPr>
          <w:rFonts w:ascii="仿宋_GB2312" w:eastAsia="仿宋_GB2312" w:hAnsi="Calibri" w:hint="eastAsia"/>
          <w:sz w:val="32"/>
          <w:szCs w:val="32"/>
        </w:rPr>
        <w:t>年</w:t>
      </w:r>
      <w:r>
        <w:rPr>
          <w:rFonts w:ascii="仿宋_GB2312" w:eastAsia="仿宋_GB2312" w:hAnsi="Calibri"/>
          <w:sz w:val="32"/>
          <w:szCs w:val="32"/>
        </w:rPr>
        <w:t>3</w:t>
      </w:r>
      <w:r>
        <w:rPr>
          <w:rFonts w:ascii="仿宋_GB2312" w:eastAsia="仿宋_GB2312" w:hAnsi="Calibri" w:hint="eastAsia"/>
          <w:sz w:val="32"/>
          <w:szCs w:val="32"/>
        </w:rPr>
        <w:t>月入选第二批“自治区级实验教学示范中心”。</w:t>
      </w:r>
      <w:r>
        <w:rPr>
          <w:rFonts w:ascii="仿宋_GB2312" w:eastAsia="仿宋_GB2312" w:hAnsi="Calibri"/>
          <w:sz w:val="32"/>
          <w:szCs w:val="32"/>
        </w:rPr>
        <w:t>截止201</w:t>
      </w:r>
      <w:r>
        <w:rPr>
          <w:rFonts w:ascii="仿宋_GB2312" w:eastAsia="仿宋_GB2312" w:hAnsi="Calibri" w:hint="eastAsia"/>
          <w:sz w:val="32"/>
          <w:szCs w:val="32"/>
        </w:rPr>
        <w:t>5</w:t>
      </w:r>
      <w:r>
        <w:rPr>
          <w:rFonts w:ascii="仿宋_GB2312" w:eastAsia="仿宋_GB2312" w:hAnsi="Calibri"/>
          <w:sz w:val="32"/>
          <w:szCs w:val="32"/>
        </w:rPr>
        <w:t>年底，学校已建成</w:t>
      </w:r>
      <w:r>
        <w:rPr>
          <w:rFonts w:ascii="仿宋_GB2312" w:eastAsia="仿宋_GB2312" w:hAnsi="Calibri" w:hint="eastAsia"/>
          <w:sz w:val="32"/>
          <w:szCs w:val="32"/>
        </w:rPr>
        <w:t>15</w:t>
      </w:r>
      <w:r>
        <w:rPr>
          <w:rFonts w:ascii="仿宋_GB2312" w:eastAsia="仿宋_GB2312" w:hAnsi="Calibri"/>
          <w:sz w:val="32"/>
          <w:szCs w:val="32"/>
        </w:rPr>
        <w:t>个校级实验教学中心，国家级实验教学示范中心</w:t>
      </w:r>
      <w:r>
        <w:rPr>
          <w:rFonts w:ascii="仿宋_GB2312" w:eastAsia="仿宋_GB2312" w:hAnsi="Calibri" w:hint="eastAsia"/>
          <w:sz w:val="32"/>
          <w:szCs w:val="32"/>
        </w:rPr>
        <w:t>1</w:t>
      </w:r>
      <w:r>
        <w:rPr>
          <w:rFonts w:ascii="仿宋_GB2312" w:eastAsia="仿宋_GB2312" w:hAnsi="Calibri"/>
          <w:sz w:val="32"/>
          <w:szCs w:val="32"/>
        </w:rPr>
        <w:t>个，自治区级实验教学示范中心</w:t>
      </w:r>
      <w:r>
        <w:rPr>
          <w:rFonts w:ascii="仿宋_GB2312" w:eastAsia="仿宋_GB2312" w:hAnsi="Calibri" w:hint="eastAsia"/>
          <w:sz w:val="32"/>
          <w:szCs w:val="32"/>
        </w:rPr>
        <w:t>5</w:t>
      </w:r>
      <w:r>
        <w:rPr>
          <w:rFonts w:ascii="仿宋_GB2312" w:eastAsia="仿宋_GB2312" w:hAnsi="Calibri"/>
          <w:sz w:val="32"/>
          <w:szCs w:val="32"/>
        </w:rPr>
        <w:t>个，自治区级实验教学示范中心（建设单位）</w:t>
      </w:r>
      <w:r>
        <w:rPr>
          <w:rFonts w:ascii="仿宋_GB2312" w:eastAsia="仿宋_GB2312" w:hAnsi="Calibri" w:hint="eastAsia"/>
          <w:sz w:val="32"/>
          <w:szCs w:val="32"/>
        </w:rPr>
        <w:t>2</w:t>
      </w:r>
      <w:r>
        <w:rPr>
          <w:rFonts w:ascii="仿宋_GB2312" w:eastAsia="仿宋_GB2312" w:hAnsi="Calibri"/>
          <w:sz w:val="32"/>
          <w:szCs w:val="32"/>
        </w:rPr>
        <w:t>个。</w:t>
      </w:r>
    </w:p>
    <w:p w:rsidR="00C47CD0" w:rsidRDefault="00081AE9">
      <w:pPr>
        <w:ind w:firstLineChars="196" w:firstLine="627"/>
        <w:rPr>
          <w:rFonts w:ascii="仿宋_GB2312" w:eastAsia="仿宋_GB2312" w:hAnsi="Calibri"/>
          <w:sz w:val="32"/>
          <w:szCs w:val="32"/>
        </w:rPr>
      </w:pPr>
      <w:r>
        <w:rPr>
          <w:rFonts w:ascii="仿宋_GB2312" w:eastAsia="仿宋_GB2312" w:hAnsi="Calibri" w:hint="eastAsia"/>
          <w:sz w:val="32"/>
          <w:szCs w:val="32"/>
        </w:rPr>
        <w:t>通过申报国家级虚拟仿真实验教学中心、设立项实验室建设与管理项目、组织教师参加虚拟仿真实验室建设研讨会，推动虚拟仿真实验室建设工作。开展2014年本科教学实验中心工作绩效评估工作，采集了实验中心的基本状态数据，为学校今后进行实验室规划、实验室建设、设备购置、大型仪器设备开放管理、专职实验人员队伍建设提供了可靠的数据支持。开展大型仪器设备使用效益评价工作，组织专家完成了对全校的</w:t>
      </w:r>
      <w:r>
        <w:rPr>
          <w:rFonts w:ascii="仿宋_GB2312" w:eastAsia="仿宋_GB2312" w:hAnsi="Calibri"/>
          <w:sz w:val="32"/>
          <w:szCs w:val="32"/>
        </w:rPr>
        <w:t>26</w:t>
      </w:r>
      <w:r>
        <w:rPr>
          <w:rFonts w:ascii="仿宋_GB2312" w:eastAsia="仿宋_GB2312" w:hAnsi="Calibri" w:hint="eastAsia"/>
          <w:sz w:val="32"/>
          <w:szCs w:val="32"/>
        </w:rPr>
        <w:t>台价值在</w:t>
      </w:r>
      <w:r>
        <w:rPr>
          <w:rFonts w:ascii="仿宋_GB2312" w:eastAsia="仿宋_GB2312" w:hAnsi="Calibri"/>
          <w:sz w:val="32"/>
          <w:szCs w:val="32"/>
        </w:rPr>
        <w:t>40</w:t>
      </w:r>
      <w:r>
        <w:rPr>
          <w:rFonts w:ascii="仿宋_GB2312" w:eastAsia="仿宋_GB2312" w:hAnsi="Calibri" w:hint="eastAsia"/>
          <w:sz w:val="32"/>
          <w:szCs w:val="32"/>
        </w:rPr>
        <w:t>万元以上的大型仪器设备</w:t>
      </w:r>
      <w:r>
        <w:rPr>
          <w:rFonts w:ascii="仿宋_GB2312" w:eastAsia="仿宋_GB2312" w:hAnsi="Calibri"/>
          <w:sz w:val="32"/>
          <w:szCs w:val="32"/>
        </w:rPr>
        <w:t>2014</w:t>
      </w:r>
      <w:r>
        <w:rPr>
          <w:rFonts w:ascii="仿宋_GB2312" w:eastAsia="仿宋_GB2312" w:hAnsi="Calibri" w:hint="eastAsia"/>
          <w:sz w:val="32"/>
          <w:szCs w:val="32"/>
        </w:rPr>
        <w:t>年度效益评价的检查和评估工作，对学校的大型仪器设备的管理水平和开放共享起到了积极的促进作用。开展</w:t>
      </w:r>
      <w:r>
        <w:rPr>
          <w:rFonts w:ascii="仿宋_GB2312" w:eastAsia="仿宋_GB2312" w:hAnsi="Calibri"/>
          <w:sz w:val="32"/>
          <w:szCs w:val="32"/>
        </w:rPr>
        <w:t>2014</w:t>
      </w:r>
      <w:r>
        <w:rPr>
          <w:rFonts w:ascii="仿宋_GB2312" w:eastAsia="仿宋_GB2312" w:hAnsi="Calibri" w:hint="eastAsia"/>
          <w:sz w:val="32"/>
          <w:szCs w:val="32"/>
        </w:rPr>
        <w:t>年立项的实验室建设与管理项目和</w:t>
      </w:r>
      <w:r>
        <w:rPr>
          <w:rFonts w:ascii="仿宋_GB2312" w:eastAsia="仿宋_GB2312" w:hAnsi="Calibri"/>
          <w:sz w:val="32"/>
          <w:szCs w:val="32"/>
        </w:rPr>
        <w:t>2014</w:t>
      </w:r>
      <w:r>
        <w:rPr>
          <w:rFonts w:ascii="仿宋_GB2312" w:eastAsia="仿宋_GB2312" w:hAnsi="Calibri" w:hint="eastAsia"/>
          <w:sz w:val="32"/>
          <w:szCs w:val="32"/>
        </w:rPr>
        <w:t>年大型仪器设备功能开发项目结题验收工作。成立新疆农业大学实验动物伦理委</w:t>
      </w:r>
      <w:r>
        <w:rPr>
          <w:rFonts w:ascii="仿宋_GB2312" w:eastAsia="仿宋_GB2312" w:hAnsi="Calibri" w:hint="eastAsia"/>
          <w:sz w:val="32"/>
          <w:szCs w:val="32"/>
        </w:rPr>
        <w:lastRenderedPageBreak/>
        <w:t>员会，出台《新疆农业大学实验动物伦理委员会章程》，加强我校实验动物伦理审查的管理工作从制度上规范了实验动物伦理审查和实验动物从业人员的职业行为。</w:t>
      </w:r>
    </w:p>
    <w:p w:rsidR="00C47CD0" w:rsidRDefault="00081AE9">
      <w:pPr>
        <w:ind w:firstLineChars="200" w:firstLine="640"/>
        <w:rPr>
          <w:rFonts w:ascii="Verdana" w:hAnsi="Verdana" w:cs="Verdana"/>
          <w:szCs w:val="21"/>
        </w:rPr>
      </w:pPr>
      <w:r>
        <w:rPr>
          <w:rFonts w:ascii="仿宋_GB2312" w:eastAsia="仿宋_GB2312" w:hAnsi="Calibri" w:hint="eastAsia"/>
          <w:sz w:val="32"/>
          <w:szCs w:val="32"/>
        </w:rPr>
        <w:t>实验室安全工作常抓不懈。定期不定期的开展实验室的安全检查、隐患排查及整改工作。进一步加强了对危险化学品的管理，尤其是易燃易爆及易制毒化学试剂的日常管理，严格危险化学品的采购程序，升级危险化学品制剂申购软件，配备实验室高压气瓶柜和危险化学品保存柜。集中处理固液体废弃物</w:t>
      </w:r>
      <w:r>
        <w:rPr>
          <w:rFonts w:ascii="仿宋_GB2312" w:eastAsia="仿宋_GB2312" w:hAnsi="Calibri"/>
          <w:sz w:val="32"/>
          <w:szCs w:val="32"/>
        </w:rPr>
        <w:t>2.6</w:t>
      </w:r>
      <w:r>
        <w:rPr>
          <w:rFonts w:ascii="仿宋_GB2312" w:eastAsia="仿宋_GB2312" w:hAnsi="Calibri" w:hint="eastAsia"/>
          <w:sz w:val="32"/>
          <w:szCs w:val="32"/>
        </w:rPr>
        <w:t>吨以及学校历史遗留的危险化学用品</w:t>
      </w:r>
      <w:r>
        <w:rPr>
          <w:rFonts w:ascii="仿宋_GB2312" w:eastAsia="仿宋_GB2312" w:hAnsi="Calibri"/>
          <w:sz w:val="32"/>
          <w:szCs w:val="32"/>
        </w:rPr>
        <w:t>2.4</w:t>
      </w:r>
      <w:r>
        <w:rPr>
          <w:rFonts w:ascii="仿宋_GB2312" w:eastAsia="仿宋_GB2312" w:hAnsi="Calibri" w:hint="eastAsia"/>
          <w:sz w:val="32"/>
          <w:szCs w:val="32"/>
        </w:rPr>
        <w:t>吨。与新疆辐射环境监督站联系，处理水利学院上世纪余存的放射性元素，让师生能够在安全放心的环境中工作学习。对研究生导师进行实验室安全管理培训，开展实验室安全管理及易制毒药品管理培训。</w:t>
      </w:r>
      <w:r>
        <w:rPr>
          <w:rFonts w:ascii="Verdana" w:hAnsi="Verdana" w:cs="Verdana"/>
          <w:szCs w:val="21"/>
        </w:rPr>
        <w:t xml:space="preserve"> </w:t>
      </w:r>
    </w:p>
    <w:p w:rsidR="00C47CD0" w:rsidRDefault="00081AE9">
      <w:pPr>
        <w:ind w:firstLineChars="200" w:firstLine="420"/>
        <w:rPr>
          <w:rFonts w:ascii="仿宋_GB2312" w:eastAsia="仿宋_GB2312" w:hAnsi="Calibri"/>
          <w:sz w:val="32"/>
          <w:szCs w:val="32"/>
        </w:rPr>
      </w:pPr>
      <w:r>
        <w:rPr>
          <w:rFonts w:ascii="Verdana" w:hAnsi="Verdana" w:cs="Verdana" w:hint="eastAsia"/>
          <w:szCs w:val="21"/>
        </w:rPr>
        <w:t xml:space="preserve">   </w:t>
      </w:r>
      <w:r>
        <w:rPr>
          <w:rFonts w:ascii="仿宋_GB2312" w:eastAsia="仿宋_GB2312" w:hAnsi="Calibri" w:hint="eastAsia"/>
          <w:sz w:val="32"/>
          <w:szCs w:val="32"/>
        </w:rPr>
        <w:t>2、基地建设与管理工作</w:t>
      </w:r>
    </w:p>
    <w:p w:rsidR="00C47CD0" w:rsidRDefault="00081AE9">
      <w:pPr>
        <w:ind w:firstLineChars="200" w:firstLine="640"/>
        <w:rPr>
          <w:rFonts w:ascii="仿宋_GB2312" w:eastAsia="仿宋_GB2312" w:hAnsi="Calibri"/>
          <w:sz w:val="32"/>
          <w:szCs w:val="32"/>
        </w:rPr>
      </w:pPr>
      <w:r>
        <w:rPr>
          <w:rFonts w:ascii="仿宋_GB2312" w:eastAsia="仿宋_GB2312" w:hAnsi="Calibri" w:hint="eastAsia"/>
          <w:sz w:val="32"/>
          <w:szCs w:val="32"/>
        </w:rPr>
        <w:t>草业与环境科学学院与玛纳斯澳洋科技有限公司</w:t>
      </w:r>
      <w:r>
        <w:rPr>
          <w:rFonts w:ascii="仿宋_GB2312" w:eastAsia="仿宋_GB2312" w:hAnsi="Calibri"/>
          <w:sz w:val="32"/>
          <w:szCs w:val="32"/>
        </w:rPr>
        <w:t xml:space="preserve"> </w:t>
      </w:r>
      <w:r>
        <w:rPr>
          <w:rFonts w:ascii="仿宋_GB2312" w:eastAsia="仿宋_GB2312" w:hAnsi="Calibri" w:hint="eastAsia"/>
          <w:sz w:val="32"/>
          <w:szCs w:val="32"/>
        </w:rPr>
        <w:t>“玛纳斯县生态环境保护产学研联合基地合作协议书”签订及揭牌仪式，开辟了学校更好地服务玛纳斯县地方经济建设和环保工作的新篇章。中国语言学院举办了汉语言专业双语翻译实习单位负责人座谈会，探讨新形势下汉语言专业双语翻译的教学模式、课程设置等，为专业进一步提升教学质量奠定基础。</w:t>
      </w:r>
    </w:p>
    <w:p w:rsidR="00C47CD0" w:rsidRDefault="00081AE9">
      <w:pPr>
        <w:ind w:firstLineChars="200" w:firstLine="640"/>
        <w:rPr>
          <w:rFonts w:ascii="仿宋_GB2312" w:eastAsia="仿宋_GB2312" w:hAnsi="Calibri"/>
          <w:sz w:val="32"/>
          <w:szCs w:val="32"/>
        </w:rPr>
      </w:pPr>
      <w:r>
        <w:rPr>
          <w:rFonts w:ascii="仿宋_GB2312" w:eastAsia="仿宋_GB2312" w:hAnsi="Calibri" w:hint="eastAsia"/>
          <w:sz w:val="32"/>
          <w:szCs w:val="32"/>
        </w:rPr>
        <w:t>学校相关部门积极做好三坪基地教学实习的保障和协</w:t>
      </w:r>
      <w:r>
        <w:rPr>
          <w:rFonts w:ascii="仿宋_GB2312" w:eastAsia="仿宋_GB2312" w:hAnsi="Calibri" w:hint="eastAsia"/>
          <w:sz w:val="32"/>
          <w:szCs w:val="32"/>
        </w:rPr>
        <w:lastRenderedPageBreak/>
        <w:t>调工作，学校继续给予三坪农场及实习单位经费补贴，包括实习学生补贴、学院管理补贴、地租等。</w:t>
      </w:r>
    </w:p>
    <w:p w:rsidR="00C47CD0" w:rsidRDefault="00081AE9">
      <w:pPr>
        <w:ind w:firstLineChars="200" w:firstLine="640"/>
        <w:rPr>
          <w:rFonts w:ascii="仿宋_GB2312" w:eastAsia="仿宋_GB2312" w:hAnsi="Calibri"/>
          <w:sz w:val="32"/>
          <w:szCs w:val="32"/>
        </w:rPr>
      </w:pPr>
      <w:r>
        <w:rPr>
          <w:rFonts w:ascii="仿宋_GB2312" w:eastAsia="仿宋_GB2312" w:hAnsi="Calibri" w:hint="eastAsia"/>
          <w:sz w:val="32"/>
          <w:szCs w:val="32"/>
        </w:rPr>
        <w:t>加大实习基地检查力度。检查林学与园艺学院本科生在三坪基地生产实习情况。检查中语学院在拜城县的校外实践基地检查中语学院维吾尔语言专业大三年级学生在拜城县</w:t>
      </w:r>
      <w:r>
        <w:rPr>
          <w:rFonts w:ascii="仿宋_GB2312" w:eastAsia="仿宋_GB2312" w:hAnsi="Calibri"/>
          <w:sz w:val="32"/>
          <w:szCs w:val="32"/>
        </w:rPr>
        <w:t>12</w:t>
      </w:r>
      <w:r>
        <w:rPr>
          <w:rFonts w:ascii="仿宋_GB2312" w:eastAsia="仿宋_GB2312" w:hAnsi="Calibri" w:hint="eastAsia"/>
          <w:sz w:val="32"/>
          <w:szCs w:val="32"/>
        </w:rPr>
        <w:t>个乡镇的中小学开展实习支教工作。针对“动物科学专业复合应用型人才培养模式改革”项目和“卓越农林人才培养计划</w:t>
      </w:r>
      <w:r>
        <w:rPr>
          <w:rFonts w:ascii="仿宋_GB2312" w:eastAsia="仿宋_GB2312" w:hAnsi="Calibri"/>
          <w:sz w:val="32"/>
          <w:szCs w:val="32"/>
        </w:rPr>
        <w:t>——</w:t>
      </w:r>
      <w:r>
        <w:rPr>
          <w:rFonts w:ascii="仿宋_GB2312" w:eastAsia="仿宋_GB2312" w:hAnsi="Calibri" w:hint="eastAsia"/>
          <w:sz w:val="32"/>
          <w:szCs w:val="32"/>
        </w:rPr>
        <w:t>农业水利工程专业培养模式改革”项目中本科生企业实习阶段工作，对在新疆天康畜牧生物技术股份有限公司实习的学生进行了实习检查。</w:t>
      </w:r>
      <w:r>
        <w:rPr>
          <w:rFonts w:ascii="宋体" w:hAnsi="宋体" w:cs="宋体"/>
          <w:b/>
          <w:sz w:val="28"/>
          <w:szCs w:val="28"/>
          <w:shd w:val="clear" w:color="auto" w:fill="FFFFFF"/>
        </w:rPr>
        <w:t xml:space="preserve"> </w:t>
      </w:r>
    </w:p>
    <w:p w:rsidR="00C47CD0" w:rsidRDefault="00081AE9">
      <w:pPr>
        <w:autoSpaceDE w:val="0"/>
        <w:autoSpaceDN w:val="0"/>
        <w:ind w:firstLineChars="200" w:firstLine="643"/>
        <w:jc w:val="left"/>
        <w:outlineLvl w:val="1"/>
        <w:rPr>
          <w:rFonts w:ascii="仿宋_GB2312" w:eastAsia="仿宋_GB2312"/>
          <w:b/>
          <w:color w:val="000000" w:themeColor="text1"/>
          <w:sz w:val="32"/>
          <w:szCs w:val="32"/>
        </w:rPr>
      </w:pPr>
      <w:r>
        <w:rPr>
          <w:rFonts w:ascii="仿宋_GB2312" w:eastAsia="仿宋_GB2312" w:hint="eastAsia"/>
          <w:b/>
          <w:color w:val="000000" w:themeColor="text1"/>
          <w:sz w:val="32"/>
          <w:szCs w:val="32"/>
        </w:rPr>
        <w:t>（七）信息资源及其应用情况</w:t>
      </w:r>
      <w:bookmarkEnd w:id="74"/>
      <w:bookmarkEnd w:id="75"/>
      <w:bookmarkEnd w:id="76"/>
      <w:bookmarkEnd w:id="77"/>
      <w:bookmarkEnd w:id="78"/>
    </w:p>
    <w:p w:rsidR="00C47CD0" w:rsidRDefault="00081AE9">
      <w:pPr>
        <w:ind w:firstLineChars="200" w:firstLine="640"/>
        <w:rPr>
          <w:rFonts w:ascii="仿宋_GB2312" w:eastAsia="仿宋_GB2312"/>
          <w:sz w:val="32"/>
          <w:szCs w:val="32"/>
        </w:rPr>
      </w:pPr>
      <w:r>
        <w:rPr>
          <w:rFonts w:ascii="仿宋_GB2312" w:eastAsia="仿宋_GB2312"/>
          <w:sz w:val="32"/>
          <w:szCs w:val="32"/>
        </w:rPr>
        <w:t>我校是乌鲁木齐市教育城域网五个结点学校之一，自治区招生委员会办公室和新疆大学北校区都通过我校接入教育科研网。目前互联网出口带宽达到4.5G，学校光缆总长度42.5公里，信息点12170个，拥有公网C类IP地址96个。校园网建设累计投入达1700余万元，校园网络实现双核心、万兆骨干、千兆楼宇、百兆到桌面的网络主干结构，为学校各类应用系统提供网络基础服务。</w:t>
      </w:r>
    </w:p>
    <w:p w:rsidR="00C47CD0" w:rsidRDefault="00081AE9">
      <w:pPr>
        <w:ind w:firstLineChars="200" w:firstLine="640"/>
      </w:pPr>
      <w:r>
        <w:rPr>
          <w:rFonts w:ascii="仿宋_GB2312" w:eastAsia="仿宋_GB2312"/>
          <w:sz w:val="32"/>
          <w:szCs w:val="32"/>
        </w:rPr>
        <w:t>数字化校园一期建设按照</w:t>
      </w:r>
      <w:r>
        <w:rPr>
          <w:rFonts w:ascii="仿宋_GB2312" w:eastAsia="仿宋_GB2312"/>
          <w:sz w:val="32"/>
          <w:szCs w:val="32"/>
        </w:rPr>
        <w:t>“</w:t>
      </w:r>
      <w:r>
        <w:rPr>
          <w:rFonts w:ascii="仿宋_GB2312" w:eastAsia="仿宋_GB2312"/>
          <w:sz w:val="32"/>
          <w:szCs w:val="32"/>
        </w:rPr>
        <w:t>以数据为核心，管理为重点，为我校沉淀最基础的数据、积累最宝贵的资源、重点满足学校核心业务需要，优先满足学校迫切性需求</w:t>
      </w:r>
      <w:r>
        <w:rPr>
          <w:rFonts w:ascii="仿宋_GB2312" w:eastAsia="仿宋_GB2312"/>
          <w:sz w:val="32"/>
          <w:szCs w:val="32"/>
        </w:rPr>
        <w:t>”</w:t>
      </w:r>
      <w:r>
        <w:rPr>
          <w:rFonts w:ascii="仿宋_GB2312" w:eastAsia="仿宋_GB2312"/>
          <w:sz w:val="32"/>
          <w:szCs w:val="32"/>
        </w:rPr>
        <w:t>的建设思路，截止2016年</w:t>
      </w:r>
      <w:r>
        <w:rPr>
          <w:rFonts w:ascii="仿宋_GB2312" w:eastAsia="仿宋_GB2312" w:hint="eastAsia"/>
          <w:sz w:val="32"/>
          <w:szCs w:val="32"/>
        </w:rPr>
        <w:t>9月</w:t>
      </w:r>
      <w:r>
        <w:rPr>
          <w:rFonts w:ascii="仿宋_GB2312" w:eastAsia="仿宋_GB2312"/>
          <w:sz w:val="32"/>
          <w:szCs w:val="32"/>
        </w:rPr>
        <w:t>建成了4个基础支撑平台、11个应用系统、9</w:t>
      </w:r>
      <w:r>
        <w:rPr>
          <w:rFonts w:ascii="仿宋_GB2312" w:eastAsia="仿宋_GB2312"/>
          <w:sz w:val="32"/>
          <w:szCs w:val="32"/>
        </w:rPr>
        <w:lastRenderedPageBreak/>
        <w:t>个集成项目和2个综合服务应用。实现了单点登录、统一身份认证，实现我校公共数据的同步，我校公共数据平台建立100多个接口，日交换数据达30万次，涉及到学生学籍、教职工数据等15种信息。</w:t>
      </w:r>
      <w:r>
        <w:br w:type="page"/>
      </w:r>
    </w:p>
    <w:p w:rsidR="00C47CD0" w:rsidRDefault="00081AE9">
      <w:pPr>
        <w:pStyle w:val="1"/>
        <w:jc w:val="center"/>
        <w:rPr>
          <w:rFonts w:ascii="仿宋_GB2312" w:eastAsia="仿宋_GB2312"/>
          <w:b w:val="0"/>
        </w:rPr>
      </w:pPr>
      <w:bookmarkStart w:id="79" w:name="_Toc435713883"/>
      <w:r>
        <w:rPr>
          <w:rFonts w:hint="eastAsia"/>
        </w:rPr>
        <w:lastRenderedPageBreak/>
        <w:t>四、教学建设与改革</w:t>
      </w:r>
      <w:bookmarkEnd w:id="79"/>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2015年6月，学校召开了以“适应新常态，把握新机遇，实现新发展”为主题的第五次教学工作会议。</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完成自治区第二批重点产业紧缺人才专业建设工作。以“卓越工程师”和“卓越农林人才”培养计划项目为抓手，积极推进教育部人才培养模式改革项目，培养拔尖型与复合型人才。设立图志实验班，探索本校自我人才培养新模式。</w:t>
      </w:r>
    </w:p>
    <w:p w:rsidR="00C47CD0" w:rsidRDefault="00081AE9">
      <w:pPr>
        <w:rPr>
          <w:rFonts w:ascii="仿宋_GB2312" w:eastAsia="仿宋_GB2312"/>
          <w:sz w:val="32"/>
          <w:szCs w:val="32"/>
        </w:rPr>
      </w:pPr>
      <w:r>
        <w:rPr>
          <w:rFonts w:ascii="仿宋_GB2312" w:eastAsia="仿宋_GB2312" w:hint="eastAsia"/>
          <w:sz w:val="32"/>
          <w:szCs w:val="32"/>
        </w:rPr>
        <w:t>1门课程获得国家“精品视频公开课”称号。</w:t>
      </w:r>
    </w:p>
    <w:p w:rsidR="00C47CD0" w:rsidRDefault="00081AE9">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2015年，44</w:t>
      </w:r>
      <w:r>
        <w:rPr>
          <w:rFonts w:ascii="仿宋_GB2312" w:eastAsia="仿宋_GB2312" w:hint="eastAsia"/>
          <w:color w:val="000000"/>
          <w:sz w:val="32"/>
          <w:szCs w:val="32"/>
        </w:rPr>
        <w:t>项国家级大学生创新创业训练计划项目</w:t>
      </w:r>
      <w:r>
        <w:rPr>
          <w:rFonts w:ascii="仿宋_GB2312" w:eastAsia="仿宋_GB2312" w:hAnsi="宋体" w:hint="eastAsia"/>
          <w:color w:val="000000"/>
          <w:sz w:val="32"/>
          <w:szCs w:val="32"/>
        </w:rPr>
        <w:t>获教育部立项批准，</w:t>
      </w:r>
      <w:r>
        <w:rPr>
          <w:rFonts w:ascii="仿宋_GB2312" w:eastAsia="仿宋_GB2312" w:hAnsi="宋体" w:hint="eastAsia"/>
          <w:color w:val="000000" w:themeColor="text1"/>
          <w:sz w:val="32"/>
          <w:szCs w:val="32"/>
        </w:rPr>
        <w:t>89</w:t>
      </w:r>
      <w:r>
        <w:rPr>
          <w:rFonts w:ascii="仿宋_GB2312" w:eastAsia="仿宋_GB2312" w:hAnsi="宋体" w:hint="eastAsia"/>
          <w:color w:val="000000"/>
          <w:sz w:val="32"/>
          <w:szCs w:val="32"/>
        </w:rPr>
        <w:t>项自治区级大学生创新项目获得教育厅立项，</w:t>
      </w:r>
      <w:r>
        <w:rPr>
          <w:rFonts w:ascii="仿宋_GB2312" w:eastAsia="仿宋_GB2312" w:hAnsi="宋体" w:hint="eastAsia"/>
          <w:color w:val="000000" w:themeColor="text1"/>
          <w:sz w:val="32"/>
          <w:szCs w:val="32"/>
        </w:rPr>
        <w:t>26</w:t>
      </w:r>
      <w:r>
        <w:rPr>
          <w:rFonts w:ascii="仿宋_GB2312" w:eastAsia="仿宋_GB2312" w:hAnsi="宋体" w:hint="eastAsia"/>
          <w:color w:val="000000"/>
          <w:sz w:val="32"/>
          <w:szCs w:val="32"/>
        </w:rPr>
        <w:t>项国家级大学生</w:t>
      </w:r>
      <w:r>
        <w:rPr>
          <w:rFonts w:ascii="仿宋_GB2312" w:eastAsia="仿宋_GB2312" w:hint="eastAsia"/>
          <w:color w:val="000000"/>
          <w:sz w:val="32"/>
          <w:szCs w:val="32"/>
        </w:rPr>
        <w:t>创新创业训练计划项目</w:t>
      </w:r>
      <w:r>
        <w:rPr>
          <w:rFonts w:ascii="仿宋_GB2312" w:eastAsia="仿宋_GB2312" w:hAnsi="宋体" w:hint="eastAsia"/>
          <w:color w:val="000000" w:themeColor="text1"/>
          <w:sz w:val="32"/>
          <w:szCs w:val="32"/>
        </w:rPr>
        <w:t>和77</w:t>
      </w:r>
      <w:r>
        <w:rPr>
          <w:rFonts w:ascii="仿宋_GB2312" w:eastAsia="仿宋_GB2312" w:hAnsi="宋体" w:hint="eastAsia"/>
          <w:color w:val="000000"/>
          <w:sz w:val="32"/>
          <w:szCs w:val="32"/>
        </w:rPr>
        <w:t>项自治区级大学生创新项目顺利验收</w:t>
      </w:r>
      <w:r>
        <w:rPr>
          <w:rFonts w:ascii="仿宋_GB2312" w:eastAsia="仿宋_GB2312" w:hint="eastAsia"/>
          <w:color w:val="000000"/>
          <w:sz w:val="32"/>
          <w:szCs w:val="32"/>
        </w:rPr>
        <w:t>。</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完成2015级</w:t>
      </w:r>
      <w:r>
        <w:rPr>
          <w:rFonts w:ascii="仿宋_GB2312" w:eastAsia="仿宋_GB2312"/>
          <w:sz w:val="32"/>
          <w:szCs w:val="32"/>
        </w:rPr>
        <w:t>93</w:t>
      </w:r>
      <w:r>
        <w:rPr>
          <w:rFonts w:ascii="仿宋_GB2312" w:eastAsia="仿宋_GB2312" w:hint="eastAsia"/>
          <w:sz w:val="32"/>
          <w:szCs w:val="32"/>
        </w:rPr>
        <w:t>套本科专业培养计划的修订。优秀本科生访学高校增至12所。</w:t>
      </w:r>
    </w:p>
    <w:p w:rsidR="00C47CD0" w:rsidRDefault="00C47CD0">
      <w:pPr>
        <w:ind w:firstLineChars="200" w:firstLine="640"/>
        <w:rPr>
          <w:rFonts w:ascii="仿宋_GB2312" w:eastAsia="仿宋_GB2312" w:hAnsi="宋体"/>
          <w:color w:val="FF0000"/>
          <w:sz w:val="32"/>
          <w:szCs w:val="32"/>
          <w:lang w:val="zh-CN"/>
        </w:rPr>
      </w:pPr>
    </w:p>
    <w:p w:rsidR="00C47CD0" w:rsidRDefault="00081AE9">
      <w:pPr>
        <w:autoSpaceDE w:val="0"/>
        <w:autoSpaceDN w:val="0"/>
        <w:ind w:firstLineChars="200" w:firstLine="643"/>
        <w:jc w:val="left"/>
        <w:outlineLvl w:val="1"/>
        <w:rPr>
          <w:rFonts w:ascii="仿宋_GB2312" w:eastAsia="仿宋_GB2312"/>
          <w:b/>
          <w:sz w:val="32"/>
          <w:szCs w:val="32"/>
        </w:rPr>
      </w:pPr>
      <w:r>
        <w:rPr>
          <w:rFonts w:ascii="仿宋_GB2312" w:eastAsia="仿宋_GB2312"/>
          <w:b/>
          <w:sz w:val="32"/>
          <w:szCs w:val="32"/>
        </w:rPr>
        <w:br w:type="page"/>
      </w:r>
      <w:bookmarkStart w:id="80" w:name="_Toc402374111"/>
      <w:bookmarkStart w:id="81" w:name="_Toc402443162"/>
      <w:bookmarkStart w:id="82" w:name="_Toc435713791"/>
      <w:bookmarkStart w:id="83" w:name="_Toc402443407"/>
      <w:bookmarkStart w:id="84" w:name="_Toc435713884"/>
      <w:r>
        <w:rPr>
          <w:rFonts w:ascii="仿宋_GB2312" w:eastAsia="仿宋_GB2312" w:hint="eastAsia"/>
          <w:b/>
          <w:sz w:val="32"/>
          <w:szCs w:val="32"/>
        </w:rPr>
        <w:lastRenderedPageBreak/>
        <w:t>（一）加强专业建设</w:t>
      </w:r>
      <w:bookmarkEnd w:id="80"/>
      <w:bookmarkEnd w:id="81"/>
      <w:bookmarkEnd w:id="82"/>
      <w:bookmarkEnd w:id="83"/>
      <w:bookmarkEnd w:id="84"/>
    </w:p>
    <w:p w:rsidR="00C47CD0" w:rsidRDefault="00081AE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1、完成自治区第二批紧缺人才专业建设工作</w:t>
      </w:r>
    </w:p>
    <w:p w:rsidR="00C47CD0" w:rsidRDefault="00081AE9">
      <w:pPr>
        <w:adjustRightInd w:val="0"/>
        <w:snapToGrid w:val="0"/>
        <w:spacing w:line="360" w:lineRule="auto"/>
        <w:ind w:firstLineChars="200" w:firstLine="640"/>
        <w:rPr>
          <w:rFonts w:ascii="仿宋_GB2312" w:eastAsia="仿宋_GB2312"/>
          <w:sz w:val="32"/>
          <w:szCs w:val="32"/>
        </w:rPr>
      </w:pPr>
      <w:r>
        <w:rPr>
          <w:rFonts w:ascii="仿宋_GB2312" w:eastAsia="仿宋_GB2312"/>
          <w:sz w:val="32"/>
          <w:szCs w:val="32"/>
        </w:rPr>
        <w:t>2011</w:t>
      </w:r>
      <w:r>
        <w:rPr>
          <w:rFonts w:ascii="仿宋_GB2312" w:eastAsia="仿宋_GB2312" w:hint="eastAsia"/>
          <w:sz w:val="32"/>
          <w:szCs w:val="32"/>
        </w:rPr>
        <w:t>年，我校</w:t>
      </w:r>
      <w:r>
        <w:rPr>
          <w:rFonts w:ascii="仿宋_GB2312" w:eastAsia="仿宋_GB2312"/>
          <w:sz w:val="32"/>
          <w:szCs w:val="32"/>
        </w:rPr>
        <w:t>5</w:t>
      </w:r>
      <w:r>
        <w:rPr>
          <w:rFonts w:ascii="仿宋_GB2312" w:eastAsia="仿宋_GB2312" w:hint="eastAsia"/>
          <w:sz w:val="32"/>
          <w:szCs w:val="32"/>
        </w:rPr>
        <w:t>个专业入选自治区第二批重点产业紧缺人才专业，五年累计获批经费</w:t>
      </w:r>
      <w:r>
        <w:rPr>
          <w:rFonts w:ascii="仿宋_GB2312" w:eastAsia="仿宋_GB2312"/>
          <w:sz w:val="32"/>
          <w:szCs w:val="32"/>
        </w:rPr>
        <w:t>1607</w:t>
      </w:r>
      <w:r>
        <w:rPr>
          <w:rFonts w:ascii="仿宋_GB2312" w:eastAsia="仿宋_GB2312" w:hint="eastAsia"/>
          <w:sz w:val="32"/>
          <w:szCs w:val="32"/>
        </w:rPr>
        <w:t>万元（其中</w:t>
      </w:r>
      <w:r>
        <w:rPr>
          <w:rFonts w:ascii="仿宋_GB2312" w:eastAsia="仿宋_GB2312"/>
          <w:sz w:val="32"/>
          <w:szCs w:val="32"/>
        </w:rPr>
        <w:t>2015</w:t>
      </w:r>
      <w:r>
        <w:rPr>
          <w:rFonts w:ascii="仿宋_GB2312" w:eastAsia="仿宋_GB2312" w:hint="eastAsia"/>
          <w:sz w:val="32"/>
          <w:szCs w:val="32"/>
        </w:rPr>
        <w:t>年为</w:t>
      </w:r>
      <w:r>
        <w:rPr>
          <w:rFonts w:ascii="仿宋_GB2312" w:eastAsia="仿宋_GB2312"/>
          <w:sz w:val="32"/>
          <w:szCs w:val="32"/>
        </w:rPr>
        <w:t>307</w:t>
      </w:r>
      <w:r>
        <w:rPr>
          <w:rFonts w:ascii="仿宋_GB2312" w:eastAsia="仿宋_GB2312" w:hint="eastAsia"/>
          <w:sz w:val="32"/>
          <w:szCs w:val="32"/>
        </w:rPr>
        <w:t>万元）。2015年11月29日，第二批自治区重点产业紧缺人才专业建设总结验收会在我校召开。自治区教育厅副厅长张建仁出席会议，来自</w:t>
      </w:r>
      <w:r>
        <w:rPr>
          <w:rFonts w:ascii="仿宋_GB2312" w:eastAsia="仿宋_GB2312"/>
          <w:sz w:val="32"/>
          <w:szCs w:val="32"/>
        </w:rPr>
        <w:t>10所高校</w:t>
      </w:r>
      <w:r>
        <w:rPr>
          <w:rFonts w:ascii="仿宋_GB2312" w:eastAsia="仿宋_GB2312" w:hint="eastAsia"/>
          <w:sz w:val="32"/>
          <w:szCs w:val="32"/>
        </w:rPr>
        <w:t>的教务处处长以及</w:t>
      </w:r>
      <w:r>
        <w:rPr>
          <w:rFonts w:ascii="仿宋_GB2312" w:eastAsia="仿宋_GB2312"/>
          <w:sz w:val="32"/>
          <w:szCs w:val="32"/>
        </w:rPr>
        <w:t>36个专业</w:t>
      </w:r>
      <w:r>
        <w:rPr>
          <w:rFonts w:ascii="仿宋_GB2312" w:eastAsia="仿宋_GB2312" w:hint="eastAsia"/>
          <w:sz w:val="32"/>
          <w:szCs w:val="32"/>
        </w:rPr>
        <w:t>的各专业负责人参加了会议。</w:t>
      </w:r>
    </w:p>
    <w:p w:rsidR="00C47CD0" w:rsidRDefault="00081AE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我校五个专业负责人代表五个专业就紧缺人才专业建设概况、紧缺人才专业推进教育教学和人才培养模式改革的举措和成效、紧缺人才专业经费保障、组织保障、制度保障及运行情况以及下一步发展思路及意见建议等方面进行了汇报。</w:t>
      </w:r>
    </w:p>
    <w:p w:rsidR="00C47CD0" w:rsidRDefault="00081AE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教育厅组织专家组进行了现场评议赋分，我校五个专业总体获得了优良的评价。经过五年的努力，我校第二批紧缺人才专业建设取得了一系列重要成果。具体表现在：一是紧缺人才培养质量稳步提升；二是紧缺人才专业的办学条件得到明显改善；三是紧缺人才专业的师资队伍质量有了明显提高；四是紧缺人才专业的科研创新与成果转化稳定增长；五是紧缺人才专业的毕业生综合素质稳步提高，受到社会欢迎和认可。学校对自治区重点、支柱产业和战略性新兴产业发展的人才保障和智力支撑作用进一步凸显。</w:t>
      </w:r>
    </w:p>
    <w:p w:rsidR="00C47CD0" w:rsidRDefault="00081AE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lastRenderedPageBreak/>
        <w:t>通过五年的建设，各紧缺人才专业在人才培养模式创新、课程体系优化、教学方法改革、师资建设、实践育人等方面取得了重要的成果，推进我校专业建设与人才培养水平，为第三批紧缺人才专业的申报建设积累了宝贵的经验。</w:t>
      </w:r>
    </w:p>
    <w:p w:rsidR="00C47CD0" w:rsidRDefault="00081AE9">
      <w:pPr>
        <w:adjustRightInd w:val="0"/>
        <w:snapToGrid w:val="0"/>
        <w:spacing w:line="360" w:lineRule="auto"/>
        <w:ind w:firstLineChars="200" w:firstLine="640"/>
        <w:rPr>
          <w:rFonts w:ascii="仿宋_GB2312" w:eastAsia="仿宋_GB2312"/>
          <w:sz w:val="32"/>
          <w:szCs w:val="32"/>
        </w:rPr>
      </w:pPr>
      <w:r>
        <w:rPr>
          <w:rFonts w:ascii="仿宋_GB2312" w:eastAsia="仿宋_GB2312" w:hint="eastAsia"/>
          <w:sz w:val="32"/>
          <w:szCs w:val="32"/>
        </w:rPr>
        <w:t>2、积极开展人才培养计划调整优化。</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按照“一班一计划”的要求，以“专家主导、统一管理、强化交流、严格验收”为原则，完成2015级</w:t>
      </w:r>
      <w:r>
        <w:rPr>
          <w:rFonts w:ascii="仿宋_GB2312" w:eastAsia="仿宋_GB2312"/>
          <w:sz w:val="32"/>
          <w:szCs w:val="32"/>
        </w:rPr>
        <w:t>93</w:t>
      </w:r>
      <w:r>
        <w:rPr>
          <w:rFonts w:ascii="仿宋_GB2312" w:eastAsia="仿宋_GB2312" w:hint="eastAsia"/>
          <w:sz w:val="32"/>
          <w:szCs w:val="32"/>
        </w:rPr>
        <w:t>套本科专业培养计划的修订。修订后的培养计划，课程设置更加科学，课程学时分配及学期分布更加合理，并明确民语言班级培养计划单独设计。选修课学分占总学分比例见表4，实践教学学分占总学分比例见表5。</w:t>
      </w:r>
    </w:p>
    <w:p w:rsidR="00C47CD0" w:rsidRDefault="00081AE9">
      <w:pPr>
        <w:ind w:firstLineChars="59" w:firstLine="142"/>
        <w:jc w:val="center"/>
        <w:rPr>
          <w:rFonts w:ascii="宋体" w:hAnsi="宋体"/>
          <w:color w:val="000000" w:themeColor="text1"/>
          <w:sz w:val="28"/>
          <w:szCs w:val="28"/>
        </w:rPr>
      </w:pPr>
      <w:r>
        <w:rPr>
          <w:rFonts w:ascii="宋体" w:hAnsi="宋体" w:hint="eastAsia"/>
          <w:color w:val="000000" w:themeColor="text1"/>
          <w:sz w:val="24"/>
        </w:rPr>
        <w:t>表4</w:t>
      </w:r>
      <w:r>
        <w:rPr>
          <w:rFonts w:ascii="宋体" w:hAnsi="宋体" w:hint="eastAsia"/>
          <w:b/>
          <w:color w:val="000000" w:themeColor="text1"/>
          <w:sz w:val="24"/>
        </w:rPr>
        <w:t xml:space="preserve">   </w:t>
      </w:r>
      <w:r>
        <w:rPr>
          <w:rFonts w:ascii="宋体" w:hAnsi="宋体" w:hint="eastAsia"/>
          <w:b/>
          <w:color w:val="000000" w:themeColor="text1"/>
          <w:sz w:val="28"/>
          <w:szCs w:val="28"/>
        </w:rPr>
        <w:t>选修课学分占总学分比例</w:t>
      </w:r>
      <w:r>
        <w:rPr>
          <w:rFonts w:ascii="宋体" w:hAnsi="宋体" w:hint="eastAsia"/>
          <w:color w:val="000000" w:themeColor="text1"/>
          <w:sz w:val="28"/>
          <w:szCs w:val="28"/>
        </w:rPr>
        <w:t>（%）</w:t>
      </w:r>
    </w:p>
    <w:tbl>
      <w:tblPr>
        <w:tblW w:w="8409" w:type="dxa"/>
        <w:jc w:val="center"/>
        <w:tblBorders>
          <w:top w:val="single" w:sz="4" w:space="0" w:color="auto"/>
          <w:bottom w:val="single" w:sz="4" w:space="0" w:color="auto"/>
        </w:tblBorders>
        <w:tblLayout w:type="fixed"/>
        <w:tblLook w:val="04A0" w:firstRow="1" w:lastRow="0" w:firstColumn="1" w:lastColumn="0" w:noHBand="0" w:noVBand="1"/>
      </w:tblPr>
      <w:tblGrid>
        <w:gridCol w:w="1060"/>
        <w:gridCol w:w="1340"/>
        <w:gridCol w:w="900"/>
        <w:gridCol w:w="1120"/>
        <w:gridCol w:w="1120"/>
        <w:gridCol w:w="1120"/>
        <w:gridCol w:w="990"/>
        <w:gridCol w:w="759"/>
      </w:tblGrid>
      <w:tr w:rsidR="00C47CD0">
        <w:trPr>
          <w:trHeight w:val="270"/>
          <w:jc w:val="center"/>
        </w:trPr>
        <w:tc>
          <w:tcPr>
            <w:tcW w:w="106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学科</w:t>
            </w:r>
          </w:p>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门类</w:t>
            </w:r>
          </w:p>
        </w:tc>
        <w:tc>
          <w:tcPr>
            <w:tcW w:w="134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最低毕业学分</w:t>
            </w:r>
          </w:p>
        </w:tc>
        <w:tc>
          <w:tcPr>
            <w:tcW w:w="90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必修学分</w:t>
            </w:r>
          </w:p>
        </w:tc>
        <w:tc>
          <w:tcPr>
            <w:tcW w:w="112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专业限选学分</w:t>
            </w:r>
          </w:p>
        </w:tc>
        <w:tc>
          <w:tcPr>
            <w:tcW w:w="112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专业任选学分</w:t>
            </w:r>
          </w:p>
        </w:tc>
        <w:tc>
          <w:tcPr>
            <w:tcW w:w="112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公共选修学分</w:t>
            </w:r>
          </w:p>
        </w:tc>
        <w:tc>
          <w:tcPr>
            <w:tcW w:w="99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bCs/>
                <w:color w:val="000000" w:themeColor="text1"/>
                <w:kern w:val="0"/>
                <w:sz w:val="18"/>
                <w:szCs w:val="18"/>
              </w:rPr>
            </w:pPr>
            <w:r>
              <w:rPr>
                <w:rFonts w:ascii="宋体" w:hAnsi="宋体" w:cs="宋体" w:hint="eastAsia"/>
                <w:b/>
                <w:color w:val="000000" w:themeColor="text1"/>
                <w:kern w:val="0"/>
                <w:sz w:val="24"/>
              </w:rPr>
              <w:t>选修总学分</w:t>
            </w:r>
          </w:p>
        </w:tc>
        <w:tc>
          <w:tcPr>
            <w:tcW w:w="759" w:type="dxa"/>
            <w:tcBorders>
              <w:top w:val="single" w:sz="4" w:space="0" w:color="auto"/>
              <w:bottom w:val="single" w:sz="4" w:space="0" w:color="auto"/>
            </w:tcBorders>
          </w:tcPr>
          <w:p w:rsidR="00C47CD0" w:rsidRDefault="00081AE9">
            <w:pPr>
              <w:widowControl/>
              <w:jc w:val="center"/>
              <w:rPr>
                <w:rFonts w:ascii="宋体" w:hAnsi="宋体" w:cs="宋体"/>
                <w:b/>
                <w:color w:val="000000" w:themeColor="text1"/>
                <w:kern w:val="0"/>
                <w:sz w:val="24"/>
              </w:rPr>
            </w:pPr>
            <w:r>
              <w:rPr>
                <w:rFonts w:ascii="宋体" w:hAnsi="宋体" w:cs="宋体" w:hint="eastAsia"/>
                <w:b/>
                <w:color w:val="000000" w:themeColor="text1"/>
                <w:kern w:val="0"/>
                <w:sz w:val="24"/>
              </w:rPr>
              <w:t>占总学分比例</w:t>
            </w:r>
          </w:p>
        </w:tc>
      </w:tr>
      <w:tr w:rsidR="00C47CD0">
        <w:trPr>
          <w:trHeight w:val="270"/>
          <w:jc w:val="center"/>
        </w:trPr>
        <w:tc>
          <w:tcPr>
            <w:tcW w:w="1060" w:type="dxa"/>
            <w:tcBorders>
              <w:top w:val="single" w:sz="4" w:space="0" w:color="auto"/>
            </w:tcBorders>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经济学</w:t>
            </w:r>
          </w:p>
        </w:tc>
        <w:tc>
          <w:tcPr>
            <w:tcW w:w="1340" w:type="dxa"/>
            <w:tcBorders>
              <w:top w:val="single" w:sz="4" w:space="0" w:color="auto"/>
            </w:tcBorders>
            <w:shd w:val="clear" w:color="auto" w:fill="auto"/>
            <w:vAlign w:val="center"/>
          </w:tcPr>
          <w:p w:rsidR="00C47CD0" w:rsidRDefault="00081AE9">
            <w:pPr>
              <w:jc w:val="center"/>
              <w:rPr>
                <w:szCs w:val="21"/>
              </w:rPr>
            </w:pPr>
            <w:r>
              <w:rPr>
                <w:rFonts w:hint="eastAsia"/>
                <w:szCs w:val="21"/>
              </w:rPr>
              <w:t>184</w:t>
            </w:r>
          </w:p>
        </w:tc>
        <w:tc>
          <w:tcPr>
            <w:tcW w:w="900" w:type="dxa"/>
            <w:tcBorders>
              <w:top w:val="single" w:sz="4" w:space="0" w:color="auto"/>
            </w:tcBorders>
            <w:shd w:val="clear" w:color="auto" w:fill="auto"/>
            <w:vAlign w:val="center"/>
          </w:tcPr>
          <w:p w:rsidR="00C47CD0" w:rsidRDefault="00081AE9">
            <w:pPr>
              <w:jc w:val="center"/>
              <w:rPr>
                <w:szCs w:val="21"/>
              </w:rPr>
            </w:pPr>
            <w:r>
              <w:rPr>
                <w:rFonts w:hint="eastAsia"/>
                <w:szCs w:val="21"/>
              </w:rPr>
              <w:t>133</w:t>
            </w:r>
          </w:p>
        </w:tc>
        <w:tc>
          <w:tcPr>
            <w:tcW w:w="1120" w:type="dxa"/>
            <w:tcBorders>
              <w:top w:val="single" w:sz="4" w:space="0" w:color="auto"/>
            </w:tcBorders>
            <w:shd w:val="clear" w:color="auto" w:fill="auto"/>
            <w:vAlign w:val="center"/>
          </w:tcPr>
          <w:p w:rsidR="00C47CD0" w:rsidRDefault="00081AE9">
            <w:pPr>
              <w:jc w:val="center"/>
              <w:rPr>
                <w:szCs w:val="21"/>
              </w:rPr>
            </w:pPr>
            <w:r>
              <w:rPr>
                <w:rFonts w:hint="eastAsia"/>
                <w:szCs w:val="21"/>
              </w:rPr>
              <w:t>6</w:t>
            </w:r>
          </w:p>
        </w:tc>
        <w:tc>
          <w:tcPr>
            <w:tcW w:w="1120" w:type="dxa"/>
            <w:tcBorders>
              <w:top w:val="single" w:sz="4" w:space="0" w:color="auto"/>
            </w:tcBorders>
            <w:shd w:val="clear" w:color="auto" w:fill="auto"/>
            <w:vAlign w:val="center"/>
          </w:tcPr>
          <w:p w:rsidR="00C47CD0" w:rsidRDefault="00081AE9">
            <w:pPr>
              <w:jc w:val="center"/>
              <w:rPr>
                <w:szCs w:val="21"/>
              </w:rPr>
            </w:pPr>
            <w:r>
              <w:rPr>
                <w:rFonts w:hint="eastAsia"/>
                <w:szCs w:val="21"/>
              </w:rPr>
              <w:t>8</w:t>
            </w:r>
          </w:p>
        </w:tc>
        <w:tc>
          <w:tcPr>
            <w:tcW w:w="1120" w:type="dxa"/>
            <w:tcBorders>
              <w:top w:val="single" w:sz="4" w:space="0" w:color="auto"/>
            </w:tcBorders>
            <w:shd w:val="clear" w:color="auto" w:fill="auto"/>
            <w:vAlign w:val="center"/>
          </w:tcPr>
          <w:p w:rsidR="00C47CD0" w:rsidRDefault="00081AE9">
            <w:pPr>
              <w:jc w:val="center"/>
              <w:rPr>
                <w:szCs w:val="21"/>
              </w:rPr>
            </w:pPr>
            <w:r>
              <w:rPr>
                <w:szCs w:val="21"/>
              </w:rPr>
              <w:t>2</w:t>
            </w:r>
          </w:p>
        </w:tc>
        <w:tc>
          <w:tcPr>
            <w:tcW w:w="990" w:type="dxa"/>
            <w:tcBorders>
              <w:top w:val="single" w:sz="4" w:space="0" w:color="auto"/>
            </w:tcBorders>
            <w:shd w:val="clear" w:color="auto" w:fill="auto"/>
            <w:vAlign w:val="center"/>
          </w:tcPr>
          <w:p w:rsidR="00C47CD0" w:rsidRDefault="00081AE9">
            <w:pPr>
              <w:jc w:val="center"/>
              <w:rPr>
                <w:szCs w:val="21"/>
              </w:rPr>
            </w:pPr>
            <w:r>
              <w:rPr>
                <w:rFonts w:hint="eastAsia"/>
                <w:szCs w:val="21"/>
              </w:rPr>
              <w:t>16</w:t>
            </w:r>
          </w:p>
        </w:tc>
        <w:tc>
          <w:tcPr>
            <w:tcW w:w="759" w:type="dxa"/>
            <w:tcBorders>
              <w:top w:val="single" w:sz="4" w:space="0" w:color="auto"/>
            </w:tcBorders>
            <w:vAlign w:val="center"/>
          </w:tcPr>
          <w:p w:rsidR="00C47CD0" w:rsidRDefault="00081AE9">
            <w:pPr>
              <w:jc w:val="center"/>
              <w:rPr>
                <w:szCs w:val="21"/>
              </w:rPr>
            </w:pPr>
            <w:r>
              <w:rPr>
                <w:rFonts w:hint="eastAsia"/>
                <w:szCs w:val="21"/>
              </w:rPr>
              <w:t>8.7</w:t>
            </w:r>
          </w:p>
        </w:tc>
      </w:tr>
      <w:tr w:rsidR="00C47CD0">
        <w:trPr>
          <w:trHeight w:val="270"/>
          <w:jc w:val="center"/>
        </w:trPr>
        <w:tc>
          <w:tcPr>
            <w:tcW w:w="1060" w:type="dxa"/>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工学</w:t>
            </w:r>
          </w:p>
        </w:tc>
        <w:tc>
          <w:tcPr>
            <w:tcW w:w="1340" w:type="dxa"/>
            <w:shd w:val="clear" w:color="auto" w:fill="auto"/>
            <w:vAlign w:val="center"/>
          </w:tcPr>
          <w:p w:rsidR="00C47CD0" w:rsidRDefault="00081AE9">
            <w:pPr>
              <w:jc w:val="center"/>
              <w:rPr>
                <w:szCs w:val="21"/>
              </w:rPr>
            </w:pPr>
            <w:r>
              <w:rPr>
                <w:rFonts w:hint="eastAsia"/>
                <w:szCs w:val="21"/>
              </w:rPr>
              <w:t>179.48</w:t>
            </w:r>
          </w:p>
        </w:tc>
        <w:tc>
          <w:tcPr>
            <w:tcW w:w="900" w:type="dxa"/>
            <w:shd w:val="clear" w:color="auto" w:fill="auto"/>
            <w:vAlign w:val="center"/>
          </w:tcPr>
          <w:p w:rsidR="00C47CD0" w:rsidRDefault="00081AE9">
            <w:pPr>
              <w:jc w:val="center"/>
              <w:rPr>
                <w:szCs w:val="21"/>
              </w:rPr>
            </w:pPr>
            <w:r>
              <w:rPr>
                <w:rFonts w:hint="eastAsia"/>
                <w:szCs w:val="21"/>
              </w:rPr>
              <w:t>119.5</w:t>
            </w:r>
          </w:p>
        </w:tc>
        <w:tc>
          <w:tcPr>
            <w:tcW w:w="1120" w:type="dxa"/>
            <w:shd w:val="clear" w:color="auto" w:fill="auto"/>
            <w:vAlign w:val="center"/>
          </w:tcPr>
          <w:p w:rsidR="00C47CD0" w:rsidRDefault="00081AE9">
            <w:pPr>
              <w:jc w:val="center"/>
              <w:rPr>
                <w:szCs w:val="21"/>
              </w:rPr>
            </w:pPr>
            <w:r>
              <w:rPr>
                <w:szCs w:val="21"/>
              </w:rPr>
              <w:t>9.7</w:t>
            </w:r>
          </w:p>
        </w:tc>
        <w:tc>
          <w:tcPr>
            <w:tcW w:w="1120" w:type="dxa"/>
            <w:shd w:val="clear" w:color="auto" w:fill="auto"/>
            <w:vAlign w:val="center"/>
          </w:tcPr>
          <w:p w:rsidR="00C47CD0" w:rsidRDefault="00081AE9">
            <w:pPr>
              <w:jc w:val="center"/>
              <w:rPr>
                <w:szCs w:val="21"/>
              </w:rPr>
            </w:pPr>
            <w:r>
              <w:rPr>
                <w:rFonts w:hint="eastAsia"/>
                <w:szCs w:val="21"/>
              </w:rPr>
              <w:t>14.2</w:t>
            </w:r>
          </w:p>
        </w:tc>
        <w:tc>
          <w:tcPr>
            <w:tcW w:w="1120" w:type="dxa"/>
            <w:shd w:val="clear" w:color="auto" w:fill="auto"/>
            <w:vAlign w:val="center"/>
          </w:tcPr>
          <w:p w:rsidR="00C47CD0" w:rsidRDefault="00081AE9">
            <w:pPr>
              <w:jc w:val="center"/>
              <w:rPr>
                <w:szCs w:val="21"/>
              </w:rPr>
            </w:pPr>
            <w:r>
              <w:rPr>
                <w:rFonts w:hint="eastAsia"/>
                <w:szCs w:val="21"/>
              </w:rPr>
              <w:t>2</w:t>
            </w:r>
          </w:p>
        </w:tc>
        <w:tc>
          <w:tcPr>
            <w:tcW w:w="990" w:type="dxa"/>
            <w:shd w:val="clear" w:color="auto" w:fill="auto"/>
            <w:vAlign w:val="center"/>
          </w:tcPr>
          <w:p w:rsidR="00C47CD0" w:rsidRDefault="00081AE9">
            <w:pPr>
              <w:jc w:val="center"/>
              <w:rPr>
                <w:szCs w:val="21"/>
              </w:rPr>
            </w:pPr>
            <w:r>
              <w:rPr>
                <w:rFonts w:hint="eastAsia"/>
                <w:szCs w:val="21"/>
              </w:rPr>
              <w:t>25.9</w:t>
            </w:r>
          </w:p>
        </w:tc>
        <w:tc>
          <w:tcPr>
            <w:tcW w:w="759" w:type="dxa"/>
            <w:vAlign w:val="center"/>
          </w:tcPr>
          <w:p w:rsidR="00C47CD0" w:rsidRDefault="00081AE9">
            <w:pPr>
              <w:jc w:val="center"/>
              <w:rPr>
                <w:szCs w:val="21"/>
              </w:rPr>
            </w:pPr>
            <w:r>
              <w:rPr>
                <w:rFonts w:hint="eastAsia"/>
                <w:szCs w:val="21"/>
              </w:rPr>
              <w:t>14.4</w:t>
            </w:r>
          </w:p>
        </w:tc>
      </w:tr>
      <w:tr w:rsidR="00C47CD0">
        <w:trPr>
          <w:trHeight w:val="270"/>
          <w:jc w:val="center"/>
        </w:trPr>
        <w:tc>
          <w:tcPr>
            <w:tcW w:w="1060" w:type="dxa"/>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管理学</w:t>
            </w:r>
          </w:p>
        </w:tc>
        <w:tc>
          <w:tcPr>
            <w:tcW w:w="1340" w:type="dxa"/>
            <w:shd w:val="clear" w:color="auto" w:fill="auto"/>
            <w:vAlign w:val="center"/>
          </w:tcPr>
          <w:p w:rsidR="00C47CD0" w:rsidRDefault="00081AE9">
            <w:pPr>
              <w:jc w:val="center"/>
              <w:rPr>
                <w:szCs w:val="21"/>
              </w:rPr>
            </w:pPr>
            <w:r>
              <w:rPr>
                <w:rFonts w:hint="eastAsia"/>
                <w:szCs w:val="21"/>
              </w:rPr>
              <w:t>175.25</w:t>
            </w:r>
          </w:p>
        </w:tc>
        <w:tc>
          <w:tcPr>
            <w:tcW w:w="900" w:type="dxa"/>
            <w:shd w:val="clear" w:color="auto" w:fill="auto"/>
            <w:vAlign w:val="center"/>
          </w:tcPr>
          <w:p w:rsidR="00C47CD0" w:rsidRDefault="00081AE9">
            <w:pPr>
              <w:jc w:val="center"/>
              <w:rPr>
                <w:szCs w:val="21"/>
              </w:rPr>
            </w:pPr>
            <w:r>
              <w:rPr>
                <w:rFonts w:hint="eastAsia"/>
                <w:szCs w:val="21"/>
              </w:rPr>
              <w:t>121.5</w:t>
            </w:r>
          </w:p>
        </w:tc>
        <w:tc>
          <w:tcPr>
            <w:tcW w:w="1120" w:type="dxa"/>
            <w:shd w:val="clear" w:color="auto" w:fill="auto"/>
            <w:vAlign w:val="center"/>
          </w:tcPr>
          <w:p w:rsidR="00C47CD0" w:rsidRDefault="00081AE9">
            <w:pPr>
              <w:jc w:val="center"/>
              <w:rPr>
                <w:szCs w:val="21"/>
              </w:rPr>
            </w:pPr>
            <w:r>
              <w:rPr>
                <w:szCs w:val="21"/>
              </w:rPr>
              <w:t>7.83</w:t>
            </w:r>
          </w:p>
        </w:tc>
        <w:tc>
          <w:tcPr>
            <w:tcW w:w="1120" w:type="dxa"/>
            <w:shd w:val="clear" w:color="auto" w:fill="auto"/>
            <w:vAlign w:val="center"/>
          </w:tcPr>
          <w:p w:rsidR="00C47CD0" w:rsidRDefault="00081AE9">
            <w:pPr>
              <w:jc w:val="center"/>
              <w:rPr>
                <w:szCs w:val="21"/>
              </w:rPr>
            </w:pPr>
            <w:r>
              <w:rPr>
                <w:rFonts w:hint="eastAsia"/>
                <w:szCs w:val="21"/>
              </w:rPr>
              <w:t>10.25</w:t>
            </w:r>
          </w:p>
        </w:tc>
        <w:tc>
          <w:tcPr>
            <w:tcW w:w="1120" w:type="dxa"/>
            <w:shd w:val="clear" w:color="auto" w:fill="auto"/>
            <w:vAlign w:val="center"/>
          </w:tcPr>
          <w:p w:rsidR="00C47CD0" w:rsidRDefault="00081AE9">
            <w:pPr>
              <w:jc w:val="center"/>
              <w:rPr>
                <w:szCs w:val="21"/>
              </w:rPr>
            </w:pPr>
            <w:r>
              <w:rPr>
                <w:rFonts w:hint="eastAsia"/>
                <w:szCs w:val="21"/>
              </w:rPr>
              <w:t>2</w:t>
            </w:r>
          </w:p>
        </w:tc>
        <w:tc>
          <w:tcPr>
            <w:tcW w:w="990" w:type="dxa"/>
            <w:shd w:val="clear" w:color="auto" w:fill="auto"/>
            <w:vAlign w:val="center"/>
          </w:tcPr>
          <w:p w:rsidR="00C47CD0" w:rsidRDefault="00081AE9">
            <w:pPr>
              <w:jc w:val="center"/>
              <w:rPr>
                <w:szCs w:val="21"/>
              </w:rPr>
            </w:pPr>
            <w:r>
              <w:rPr>
                <w:rFonts w:hint="eastAsia"/>
                <w:szCs w:val="21"/>
              </w:rPr>
              <w:t>20.08</w:t>
            </w:r>
          </w:p>
        </w:tc>
        <w:tc>
          <w:tcPr>
            <w:tcW w:w="759" w:type="dxa"/>
            <w:vAlign w:val="center"/>
          </w:tcPr>
          <w:p w:rsidR="00C47CD0" w:rsidRDefault="00081AE9">
            <w:pPr>
              <w:jc w:val="center"/>
              <w:rPr>
                <w:szCs w:val="21"/>
              </w:rPr>
            </w:pPr>
            <w:r>
              <w:rPr>
                <w:rFonts w:hint="eastAsia"/>
                <w:szCs w:val="21"/>
              </w:rPr>
              <w:t>11.5</w:t>
            </w:r>
          </w:p>
        </w:tc>
      </w:tr>
      <w:tr w:rsidR="00C47CD0">
        <w:trPr>
          <w:trHeight w:val="270"/>
          <w:jc w:val="center"/>
        </w:trPr>
        <w:tc>
          <w:tcPr>
            <w:tcW w:w="1060" w:type="dxa"/>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文学</w:t>
            </w:r>
          </w:p>
        </w:tc>
        <w:tc>
          <w:tcPr>
            <w:tcW w:w="1340" w:type="dxa"/>
            <w:shd w:val="clear" w:color="auto" w:fill="auto"/>
            <w:vAlign w:val="center"/>
          </w:tcPr>
          <w:p w:rsidR="00C47CD0" w:rsidRDefault="00081AE9">
            <w:pPr>
              <w:jc w:val="center"/>
              <w:rPr>
                <w:szCs w:val="21"/>
              </w:rPr>
            </w:pPr>
            <w:r>
              <w:rPr>
                <w:rFonts w:hint="eastAsia"/>
                <w:szCs w:val="21"/>
              </w:rPr>
              <w:t>182.33</w:t>
            </w:r>
          </w:p>
        </w:tc>
        <w:tc>
          <w:tcPr>
            <w:tcW w:w="900" w:type="dxa"/>
            <w:shd w:val="clear" w:color="auto" w:fill="auto"/>
            <w:vAlign w:val="center"/>
          </w:tcPr>
          <w:p w:rsidR="00C47CD0" w:rsidRDefault="00081AE9">
            <w:pPr>
              <w:jc w:val="center"/>
              <w:rPr>
                <w:szCs w:val="21"/>
              </w:rPr>
            </w:pPr>
            <w:r>
              <w:rPr>
                <w:rFonts w:hint="eastAsia"/>
                <w:szCs w:val="21"/>
              </w:rPr>
              <w:t>116.3</w:t>
            </w:r>
          </w:p>
        </w:tc>
        <w:tc>
          <w:tcPr>
            <w:tcW w:w="1120" w:type="dxa"/>
            <w:shd w:val="clear" w:color="auto" w:fill="auto"/>
            <w:vAlign w:val="center"/>
          </w:tcPr>
          <w:p w:rsidR="00C47CD0" w:rsidRDefault="00081AE9">
            <w:pPr>
              <w:jc w:val="center"/>
              <w:rPr>
                <w:szCs w:val="21"/>
              </w:rPr>
            </w:pPr>
            <w:r>
              <w:rPr>
                <w:rFonts w:hint="eastAsia"/>
                <w:szCs w:val="21"/>
              </w:rPr>
              <w:t>10</w:t>
            </w:r>
          </w:p>
        </w:tc>
        <w:tc>
          <w:tcPr>
            <w:tcW w:w="1120" w:type="dxa"/>
            <w:shd w:val="clear" w:color="auto" w:fill="auto"/>
            <w:vAlign w:val="center"/>
          </w:tcPr>
          <w:p w:rsidR="00C47CD0" w:rsidRDefault="00081AE9">
            <w:pPr>
              <w:jc w:val="center"/>
              <w:rPr>
                <w:szCs w:val="21"/>
              </w:rPr>
            </w:pPr>
            <w:r>
              <w:rPr>
                <w:rFonts w:hint="eastAsia"/>
                <w:szCs w:val="21"/>
              </w:rPr>
              <w:t>11.67</w:t>
            </w:r>
          </w:p>
        </w:tc>
        <w:tc>
          <w:tcPr>
            <w:tcW w:w="1120" w:type="dxa"/>
            <w:shd w:val="clear" w:color="auto" w:fill="auto"/>
            <w:vAlign w:val="center"/>
          </w:tcPr>
          <w:p w:rsidR="00C47CD0" w:rsidRDefault="00081AE9">
            <w:pPr>
              <w:jc w:val="center"/>
              <w:rPr>
                <w:szCs w:val="21"/>
              </w:rPr>
            </w:pPr>
            <w:r>
              <w:rPr>
                <w:rFonts w:hint="eastAsia"/>
                <w:szCs w:val="21"/>
              </w:rPr>
              <w:t>2</w:t>
            </w:r>
          </w:p>
        </w:tc>
        <w:tc>
          <w:tcPr>
            <w:tcW w:w="990" w:type="dxa"/>
            <w:shd w:val="clear" w:color="auto" w:fill="auto"/>
            <w:vAlign w:val="center"/>
          </w:tcPr>
          <w:p w:rsidR="00C47CD0" w:rsidRDefault="00081AE9">
            <w:pPr>
              <w:jc w:val="center"/>
              <w:rPr>
                <w:szCs w:val="21"/>
              </w:rPr>
            </w:pPr>
            <w:r>
              <w:rPr>
                <w:rFonts w:hint="eastAsia"/>
                <w:szCs w:val="21"/>
              </w:rPr>
              <w:t>23.67</w:t>
            </w:r>
          </w:p>
        </w:tc>
        <w:tc>
          <w:tcPr>
            <w:tcW w:w="759" w:type="dxa"/>
            <w:vAlign w:val="center"/>
          </w:tcPr>
          <w:p w:rsidR="00C47CD0" w:rsidRDefault="00081AE9">
            <w:pPr>
              <w:jc w:val="center"/>
              <w:rPr>
                <w:szCs w:val="21"/>
              </w:rPr>
            </w:pPr>
            <w:r>
              <w:rPr>
                <w:rFonts w:hint="eastAsia"/>
                <w:szCs w:val="21"/>
              </w:rPr>
              <w:t>13</w:t>
            </w:r>
          </w:p>
        </w:tc>
      </w:tr>
      <w:tr w:rsidR="00C47CD0">
        <w:trPr>
          <w:trHeight w:val="270"/>
          <w:jc w:val="center"/>
        </w:trPr>
        <w:tc>
          <w:tcPr>
            <w:tcW w:w="1060" w:type="dxa"/>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法学</w:t>
            </w:r>
          </w:p>
        </w:tc>
        <w:tc>
          <w:tcPr>
            <w:tcW w:w="1340" w:type="dxa"/>
            <w:shd w:val="clear" w:color="auto" w:fill="auto"/>
            <w:vAlign w:val="center"/>
          </w:tcPr>
          <w:p w:rsidR="00C47CD0" w:rsidRDefault="00081AE9">
            <w:pPr>
              <w:jc w:val="center"/>
              <w:rPr>
                <w:szCs w:val="21"/>
              </w:rPr>
            </w:pPr>
            <w:r>
              <w:rPr>
                <w:rFonts w:hint="eastAsia"/>
                <w:szCs w:val="21"/>
              </w:rPr>
              <w:t>179.5</w:t>
            </w:r>
          </w:p>
        </w:tc>
        <w:tc>
          <w:tcPr>
            <w:tcW w:w="900" w:type="dxa"/>
            <w:shd w:val="clear" w:color="auto" w:fill="auto"/>
            <w:vAlign w:val="center"/>
          </w:tcPr>
          <w:p w:rsidR="00C47CD0" w:rsidRDefault="00081AE9">
            <w:pPr>
              <w:jc w:val="center"/>
              <w:rPr>
                <w:szCs w:val="21"/>
              </w:rPr>
            </w:pPr>
            <w:r>
              <w:rPr>
                <w:rFonts w:hint="eastAsia"/>
                <w:szCs w:val="21"/>
              </w:rPr>
              <w:t>120.5</w:t>
            </w:r>
          </w:p>
        </w:tc>
        <w:tc>
          <w:tcPr>
            <w:tcW w:w="1120" w:type="dxa"/>
            <w:shd w:val="clear" w:color="auto" w:fill="auto"/>
            <w:vAlign w:val="center"/>
          </w:tcPr>
          <w:p w:rsidR="00C47CD0" w:rsidRDefault="00081AE9">
            <w:pPr>
              <w:jc w:val="center"/>
              <w:rPr>
                <w:szCs w:val="21"/>
              </w:rPr>
            </w:pPr>
            <w:r>
              <w:rPr>
                <w:rFonts w:hint="eastAsia"/>
                <w:szCs w:val="21"/>
              </w:rPr>
              <w:t>10</w:t>
            </w:r>
          </w:p>
        </w:tc>
        <w:tc>
          <w:tcPr>
            <w:tcW w:w="1120" w:type="dxa"/>
            <w:shd w:val="clear" w:color="auto" w:fill="auto"/>
            <w:vAlign w:val="center"/>
          </w:tcPr>
          <w:p w:rsidR="00C47CD0" w:rsidRDefault="00081AE9">
            <w:pPr>
              <w:jc w:val="center"/>
              <w:rPr>
                <w:szCs w:val="21"/>
              </w:rPr>
            </w:pPr>
            <w:r>
              <w:rPr>
                <w:rFonts w:hint="eastAsia"/>
                <w:szCs w:val="21"/>
              </w:rPr>
              <w:t>10</w:t>
            </w:r>
          </w:p>
        </w:tc>
        <w:tc>
          <w:tcPr>
            <w:tcW w:w="1120" w:type="dxa"/>
            <w:shd w:val="clear" w:color="auto" w:fill="auto"/>
            <w:vAlign w:val="center"/>
          </w:tcPr>
          <w:p w:rsidR="00C47CD0" w:rsidRDefault="00081AE9">
            <w:pPr>
              <w:jc w:val="center"/>
              <w:rPr>
                <w:szCs w:val="21"/>
              </w:rPr>
            </w:pPr>
            <w:r>
              <w:rPr>
                <w:rFonts w:hint="eastAsia"/>
                <w:szCs w:val="21"/>
              </w:rPr>
              <w:t>2</w:t>
            </w:r>
          </w:p>
        </w:tc>
        <w:tc>
          <w:tcPr>
            <w:tcW w:w="990" w:type="dxa"/>
            <w:shd w:val="clear" w:color="auto" w:fill="auto"/>
            <w:vAlign w:val="center"/>
          </w:tcPr>
          <w:p w:rsidR="00C47CD0" w:rsidRDefault="00081AE9">
            <w:pPr>
              <w:jc w:val="center"/>
              <w:rPr>
                <w:szCs w:val="21"/>
              </w:rPr>
            </w:pPr>
            <w:r>
              <w:rPr>
                <w:rFonts w:hint="eastAsia"/>
                <w:szCs w:val="21"/>
              </w:rPr>
              <w:t>22</w:t>
            </w:r>
          </w:p>
        </w:tc>
        <w:tc>
          <w:tcPr>
            <w:tcW w:w="759" w:type="dxa"/>
            <w:vAlign w:val="center"/>
          </w:tcPr>
          <w:p w:rsidR="00C47CD0" w:rsidRDefault="00081AE9">
            <w:pPr>
              <w:jc w:val="center"/>
              <w:rPr>
                <w:szCs w:val="21"/>
              </w:rPr>
            </w:pPr>
            <w:r>
              <w:rPr>
                <w:rFonts w:hint="eastAsia"/>
                <w:szCs w:val="21"/>
              </w:rPr>
              <w:t>12.2</w:t>
            </w:r>
          </w:p>
        </w:tc>
      </w:tr>
      <w:tr w:rsidR="00C47CD0">
        <w:trPr>
          <w:trHeight w:val="270"/>
          <w:jc w:val="center"/>
        </w:trPr>
        <w:tc>
          <w:tcPr>
            <w:tcW w:w="1060" w:type="dxa"/>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农学</w:t>
            </w:r>
          </w:p>
        </w:tc>
        <w:tc>
          <w:tcPr>
            <w:tcW w:w="1340" w:type="dxa"/>
            <w:shd w:val="clear" w:color="auto" w:fill="auto"/>
            <w:vAlign w:val="center"/>
          </w:tcPr>
          <w:p w:rsidR="00C47CD0" w:rsidRDefault="00081AE9">
            <w:pPr>
              <w:jc w:val="center"/>
              <w:rPr>
                <w:szCs w:val="21"/>
              </w:rPr>
            </w:pPr>
            <w:r>
              <w:rPr>
                <w:rFonts w:hint="eastAsia"/>
                <w:szCs w:val="21"/>
              </w:rPr>
              <w:t>174.8</w:t>
            </w:r>
          </w:p>
        </w:tc>
        <w:tc>
          <w:tcPr>
            <w:tcW w:w="900" w:type="dxa"/>
            <w:shd w:val="clear" w:color="auto" w:fill="auto"/>
            <w:vAlign w:val="center"/>
          </w:tcPr>
          <w:p w:rsidR="00C47CD0" w:rsidRDefault="00081AE9">
            <w:pPr>
              <w:jc w:val="center"/>
              <w:rPr>
                <w:szCs w:val="21"/>
              </w:rPr>
            </w:pPr>
            <w:r>
              <w:rPr>
                <w:rFonts w:hint="eastAsia"/>
                <w:szCs w:val="21"/>
              </w:rPr>
              <w:t>120.6</w:t>
            </w:r>
          </w:p>
        </w:tc>
        <w:tc>
          <w:tcPr>
            <w:tcW w:w="1120" w:type="dxa"/>
            <w:shd w:val="clear" w:color="auto" w:fill="auto"/>
            <w:vAlign w:val="center"/>
          </w:tcPr>
          <w:p w:rsidR="00C47CD0" w:rsidRDefault="00081AE9">
            <w:pPr>
              <w:jc w:val="center"/>
              <w:rPr>
                <w:szCs w:val="21"/>
              </w:rPr>
            </w:pPr>
            <w:r>
              <w:rPr>
                <w:szCs w:val="21"/>
              </w:rPr>
              <w:t>9.8</w:t>
            </w:r>
          </w:p>
        </w:tc>
        <w:tc>
          <w:tcPr>
            <w:tcW w:w="1120" w:type="dxa"/>
            <w:shd w:val="clear" w:color="auto" w:fill="auto"/>
            <w:vAlign w:val="center"/>
          </w:tcPr>
          <w:p w:rsidR="00C47CD0" w:rsidRDefault="00081AE9">
            <w:pPr>
              <w:jc w:val="center"/>
              <w:rPr>
                <w:szCs w:val="21"/>
              </w:rPr>
            </w:pPr>
            <w:r>
              <w:rPr>
                <w:rFonts w:hint="eastAsia"/>
                <w:szCs w:val="21"/>
              </w:rPr>
              <w:t>9.74</w:t>
            </w:r>
          </w:p>
        </w:tc>
        <w:tc>
          <w:tcPr>
            <w:tcW w:w="1120" w:type="dxa"/>
            <w:shd w:val="clear" w:color="auto" w:fill="auto"/>
            <w:vAlign w:val="center"/>
          </w:tcPr>
          <w:p w:rsidR="00C47CD0" w:rsidRDefault="00081AE9">
            <w:pPr>
              <w:jc w:val="center"/>
              <w:rPr>
                <w:szCs w:val="21"/>
              </w:rPr>
            </w:pPr>
            <w:r>
              <w:rPr>
                <w:rFonts w:hint="eastAsia"/>
                <w:szCs w:val="21"/>
              </w:rPr>
              <w:t>2</w:t>
            </w:r>
          </w:p>
        </w:tc>
        <w:tc>
          <w:tcPr>
            <w:tcW w:w="990" w:type="dxa"/>
            <w:shd w:val="clear" w:color="auto" w:fill="auto"/>
            <w:vAlign w:val="center"/>
          </w:tcPr>
          <w:p w:rsidR="00C47CD0" w:rsidRDefault="00081AE9">
            <w:pPr>
              <w:jc w:val="center"/>
              <w:rPr>
                <w:szCs w:val="21"/>
              </w:rPr>
            </w:pPr>
            <w:r>
              <w:rPr>
                <w:rFonts w:hint="eastAsia"/>
                <w:szCs w:val="21"/>
              </w:rPr>
              <w:t>21.52</w:t>
            </w:r>
          </w:p>
        </w:tc>
        <w:tc>
          <w:tcPr>
            <w:tcW w:w="759" w:type="dxa"/>
            <w:vAlign w:val="center"/>
          </w:tcPr>
          <w:p w:rsidR="00C47CD0" w:rsidRDefault="00081AE9">
            <w:pPr>
              <w:jc w:val="center"/>
              <w:rPr>
                <w:szCs w:val="21"/>
              </w:rPr>
            </w:pPr>
            <w:r>
              <w:rPr>
                <w:rFonts w:hint="eastAsia"/>
                <w:szCs w:val="21"/>
              </w:rPr>
              <w:t>12.3</w:t>
            </w:r>
          </w:p>
        </w:tc>
      </w:tr>
      <w:tr w:rsidR="00C47CD0">
        <w:trPr>
          <w:trHeight w:val="270"/>
          <w:jc w:val="center"/>
        </w:trPr>
        <w:tc>
          <w:tcPr>
            <w:tcW w:w="1060" w:type="dxa"/>
            <w:tcBorders>
              <w:bottom w:val="single" w:sz="4" w:space="0" w:color="auto"/>
            </w:tcBorders>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理学</w:t>
            </w:r>
          </w:p>
        </w:tc>
        <w:tc>
          <w:tcPr>
            <w:tcW w:w="1340" w:type="dxa"/>
            <w:tcBorders>
              <w:bottom w:val="single" w:sz="4" w:space="0" w:color="auto"/>
            </w:tcBorders>
            <w:shd w:val="clear" w:color="auto" w:fill="auto"/>
            <w:vAlign w:val="center"/>
          </w:tcPr>
          <w:p w:rsidR="00C47CD0" w:rsidRDefault="00081AE9">
            <w:pPr>
              <w:jc w:val="center"/>
              <w:rPr>
                <w:szCs w:val="21"/>
              </w:rPr>
            </w:pPr>
            <w:r>
              <w:rPr>
                <w:rFonts w:hint="eastAsia"/>
                <w:szCs w:val="21"/>
              </w:rPr>
              <w:t>176.63</w:t>
            </w:r>
          </w:p>
        </w:tc>
        <w:tc>
          <w:tcPr>
            <w:tcW w:w="900" w:type="dxa"/>
            <w:tcBorders>
              <w:bottom w:val="single" w:sz="4" w:space="0" w:color="auto"/>
            </w:tcBorders>
            <w:shd w:val="clear" w:color="auto" w:fill="auto"/>
            <w:vAlign w:val="center"/>
          </w:tcPr>
          <w:p w:rsidR="00C47CD0" w:rsidRDefault="00081AE9">
            <w:pPr>
              <w:jc w:val="center"/>
              <w:rPr>
                <w:szCs w:val="21"/>
              </w:rPr>
            </w:pPr>
            <w:r>
              <w:rPr>
                <w:rFonts w:hint="eastAsia"/>
                <w:szCs w:val="21"/>
              </w:rPr>
              <w:t>125.2</w:t>
            </w:r>
          </w:p>
        </w:tc>
        <w:tc>
          <w:tcPr>
            <w:tcW w:w="1120" w:type="dxa"/>
            <w:tcBorders>
              <w:bottom w:val="single" w:sz="4" w:space="0" w:color="auto"/>
            </w:tcBorders>
            <w:shd w:val="clear" w:color="auto" w:fill="auto"/>
            <w:vAlign w:val="center"/>
          </w:tcPr>
          <w:p w:rsidR="00C47CD0" w:rsidRDefault="00081AE9">
            <w:pPr>
              <w:jc w:val="center"/>
              <w:rPr>
                <w:szCs w:val="21"/>
              </w:rPr>
            </w:pPr>
            <w:r>
              <w:rPr>
                <w:szCs w:val="21"/>
              </w:rPr>
              <w:t>9.9</w:t>
            </w:r>
          </w:p>
        </w:tc>
        <w:tc>
          <w:tcPr>
            <w:tcW w:w="1120" w:type="dxa"/>
            <w:tcBorders>
              <w:bottom w:val="single" w:sz="4" w:space="0" w:color="auto"/>
            </w:tcBorders>
            <w:shd w:val="clear" w:color="auto" w:fill="auto"/>
            <w:vAlign w:val="center"/>
          </w:tcPr>
          <w:p w:rsidR="00C47CD0" w:rsidRDefault="00081AE9">
            <w:pPr>
              <w:jc w:val="center"/>
              <w:rPr>
                <w:szCs w:val="21"/>
              </w:rPr>
            </w:pPr>
            <w:r>
              <w:rPr>
                <w:rFonts w:hint="eastAsia"/>
                <w:szCs w:val="21"/>
              </w:rPr>
              <w:t>10.69</w:t>
            </w:r>
          </w:p>
        </w:tc>
        <w:tc>
          <w:tcPr>
            <w:tcW w:w="1120" w:type="dxa"/>
            <w:tcBorders>
              <w:bottom w:val="single" w:sz="4" w:space="0" w:color="auto"/>
            </w:tcBorders>
            <w:shd w:val="clear" w:color="auto" w:fill="auto"/>
            <w:vAlign w:val="center"/>
          </w:tcPr>
          <w:p w:rsidR="00C47CD0" w:rsidRDefault="00081AE9">
            <w:pPr>
              <w:jc w:val="center"/>
              <w:rPr>
                <w:szCs w:val="21"/>
              </w:rPr>
            </w:pPr>
            <w:r>
              <w:rPr>
                <w:rFonts w:hint="eastAsia"/>
                <w:szCs w:val="21"/>
              </w:rPr>
              <w:t>2</w:t>
            </w:r>
          </w:p>
        </w:tc>
        <w:tc>
          <w:tcPr>
            <w:tcW w:w="990" w:type="dxa"/>
            <w:tcBorders>
              <w:bottom w:val="single" w:sz="4" w:space="0" w:color="auto"/>
            </w:tcBorders>
            <w:shd w:val="clear" w:color="auto" w:fill="auto"/>
            <w:vAlign w:val="center"/>
          </w:tcPr>
          <w:p w:rsidR="00C47CD0" w:rsidRDefault="00081AE9">
            <w:pPr>
              <w:jc w:val="center"/>
              <w:rPr>
                <w:szCs w:val="21"/>
              </w:rPr>
            </w:pPr>
            <w:r>
              <w:rPr>
                <w:rFonts w:hint="eastAsia"/>
                <w:szCs w:val="21"/>
              </w:rPr>
              <w:t>22.57</w:t>
            </w:r>
          </w:p>
        </w:tc>
        <w:tc>
          <w:tcPr>
            <w:tcW w:w="759" w:type="dxa"/>
            <w:tcBorders>
              <w:bottom w:val="single" w:sz="4" w:space="0" w:color="auto"/>
            </w:tcBorders>
            <w:vAlign w:val="center"/>
          </w:tcPr>
          <w:p w:rsidR="00C47CD0" w:rsidRDefault="00081AE9">
            <w:pPr>
              <w:jc w:val="center"/>
              <w:rPr>
                <w:szCs w:val="21"/>
              </w:rPr>
            </w:pPr>
            <w:r>
              <w:rPr>
                <w:rFonts w:hint="eastAsia"/>
                <w:szCs w:val="21"/>
              </w:rPr>
              <w:t>12.8</w:t>
            </w:r>
          </w:p>
        </w:tc>
      </w:tr>
      <w:tr w:rsidR="00C47CD0">
        <w:trPr>
          <w:trHeight w:val="270"/>
          <w:jc w:val="center"/>
        </w:trPr>
        <w:tc>
          <w:tcPr>
            <w:tcW w:w="1060" w:type="dxa"/>
            <w:tcBorders>
              <w:top w:val="single" w:sz="4" w:space="0" w:color="auto"/>
              <w:bottom w:val="single" w:sz="4" w:space="0" w:color="auto"/>
            </w:tcBorders>
            <w:shd w:val="clear" w:color="auto" w:fill="auto"/>
            <w:vAlign w:val="center"/>
          </w:tcPr>
          <w:p w:rsidR="00C47CD0" w:rsidRDefault="00081AE9">
            <w:pPr>
              <w:widowControl/>
              <w:spacing w:line="360" w:lineRule="auto"/>
              <w:jc w:val="left"/>
              <w:rPr>
                <w:rFonts w:ascii="宋体" w:hAnsi="宋体" w:cs="宋体"/>
                <w:color w:val="000000" w:themeColor="text1"/>
                <w:kern w:val="0"/>
                <w:sz w:val="24"/>
              </w:rPr>
            </w:pPr>
            <w:r>
              <w:rPr>
                <w:rFonts w:ascii="宋体" w:hAnsi="宋体" w:cs="宋体" w:hint="eastAsia"/>
                <w:color w:val="000000" w:themeColor="text1"/>
                <w:kern w:val="0"/>
                <w:sz w:val="24"/>
              </w:rPr>
              <w:t>平均</w:t>
            </w:r>
          </w:p>
        </w:tc>
        <w:tc>
          <w:tcPr>
            <w:tcW w:w="1340" w:type="dxa"/>
            <w:tcBorders>
              <w:top w:val="single" w:sz="4" w:space="0" w:color="auto"/>
              <w:bottom w:val="single" w:sz="4" w:space="0" w:color="auto"/>
            </w:tcBorders>
            <w:shd w:val="clear" w:color="auto" w:fill="auto"/>
            <w:vAlign w:val="center"/>
          </w:tcPr>
          <w:p w:rsidR="00C47CD0" w:rsidRDefault="00081AE9">
            <w:pPr>
              <w:jc w:val="center"/>
              <w:rPr>
                <w:szCs w:val="21"/>
              </w:rPr>
            </w:pPr>
            <w:r>
              <w:rPr>
                <w:rFonts w:hint="eastAsia"/>
                <w:szCs w:val="21"/>
              </w:rPr>
              <w:t xml:space="preserve">178.86 </w:t>
            </w:r>
          </w:p>
        </w:tc>
        <w:tc>
          <w:tcPr>
            <w:tcW w:w="900" w:type="dxa"/>
            <w:tcBorders>
              <w:top w:val="single" w:sz="4" w:space="0" w:color="auto"/>
              <w:bottom w:val="single" w:sz="4" w:space="0" w:color="auto"/>
            </w:tcBorders>
            <w:shd w:val="clear" w:color="auto" w:fill="auto"/>
            <w:vAlign w:val="center"/>
          </w:tcPr>
          <w:p w:rsidR="00C47CD0" w:rsidRDefault="00081AE9">
            <w:pPr>
              <w:jc w:val="center"/>
              <w:rPr>
                <w:szCs w:val="21"/>
              </w:rPr>
            </w:pPr>
            <w:r>
              <w:rPr>
                <w:rFonts w:hint="eastAsia"/>
                <w:szCs w:val="21"/>
              </w:rPr>
              <w:t xml:space="preserve">122.4 </w:t>
            </w:r>
          </w:p>
        </w:tc>
        <w:tc>
          <w:tcPr>
            <w:tcW w:w="1120" w:type="dxa"/>
            <w:tcBorders>
              <w:top w:val="single" w:sz="4" w:space="0" w:color="auto"/>
              <w:bottom w:val="single" w:sz="4" w:space="0" w:color="auto"/>
            </w:tcBorders>
            <w:shd w:val="clear" w:color="auto" w:fill="auto"/>
            <w:vAlign w:val="center"/>
          </w:tcPr>
          <w:p w:rsidR="00C47CD0" w:rsidRDefault="00081AE9">
            <w:pPr>
              <w:jc w:val="center"/>
              <w:rPr>
                <w:szCs w:val="21"/>
              </w:rPr>
            </w:pPr>
            <w:r>
              <w:rPr>
                <w:rFonts w:hint="eastAsia"/>
                <w:szCs w:val="21"/>
              </w:rPr>
              <w:t xml:space="preserve">9.03 </w:t>
            </w:r>
          </w:p>
        </w:tc>
        <w:tc>
          <w:tcPr>
            <w:tcW w:w="1120" w:type="dxa"/>
            <w:tcBorders>
              <w:top w:val="single" w:sz="4" w:space="0" w:color="auto"/>
              <w:bottom w:val="single" w:sz="4" w:space="0" w:color="auto"/>
            </w:tcBorders>
            <w:shd w:val="clear" w:color="auto" w:fill="auto"/>
            <w:vAlign w:val="center"/>
          </w:tcPr>
          <w:p w:rsidR="00C47CD0" w:rsidRDefault="00081AE9">
            <w:pPr>
              <w:jc w:val="center"/>
              <w:rPr>
                <w:szCs w:val="21"/>
              </w:rPr>
            </w:pPr>
            <w:r>
              <w:rPr>
                <w:rFonts w:hint="eastAsia"/>
                <w:szCs w:val="21"/>
              </w:rPr>
              <w:t xml:space="preserve">10.65 </w:t>
            </w:r>
          </w:p>
        </w:tc>
        <w:tc>
          <w:tcPr>
            <w:tcW w:w="1120" w:type="dxa"/>
            <w:tcBorders>
              <w:top w:val="single" w:sz="4" w:space="0" w:color="auto"/>
              <w:bottom w:val="single" w:sz="4" w:space="0" w:color="auto"/>
            </w:tcBorders>
            <w:shd w:val="clear" w:color="auto" w:fill="auto"/>
            <w:vAlign w:val="center"/>
          </w:tcPr>
          <w:p w:rsidR="00C47CD0" w:rsidRDefault="00081AE9">
            <w:pPr>
              <w:jc w:val="center"/>
              <w:rPr>
                <w:szCs w:val="21"/>
              </w:rPr>
            </w:pPr>
            <w:r>
              <w:rPr>
                <w:rFonts w:hint="eastAsia"/>
                <w:szCs w:val="21"/>
              </w:rPr>
              <w:t xml:space="preserve">2 </w:t>
            </w:r>
          </w:p>
        </w:tc>
        <w:tc>
          <w:tcPr>
            <w:tcW w:w="990" w:type="dxa"/>
            <w:tcBorders>
              <w:top w:val="single" w:sz="4" w:space="0" w:color="auto"/>
              <w:bottom w:val="single" w:sz="4" w:space="0" w:color="auto"/>
            </w:tcBorders>
            <w:shd w:val="clear" w:color="auto" w:fill="auto"/>
            <w:vAlign w:val="center"/>
          </w:tcPr>
          <w:p w:rsidR="00C47CD0" w:rsidRDefault="00081AE9">
            <w:pPr>
              <w:jc w:val="center"/>
              <w:rPr>
                <w:szCs w:val="21"/>
              </w:rPr>
            </w:pPr>
            <w:r>
              <w:rPr>
                <w:rFonts w:hint="eastAsia"/>
                <w:szCs w:val="21"/>
              </w:rPr>
              <w:t xml:space="preserve">21.68 </w:t>
            </w:r>
          </w:p>
        </w:tc>
        <w:tc>
          <w:tcPr>
            <w:tcW w:w="759" w:type="dxa"/>
            <w:tcBorders>
              <w:top w:val="single" w:sz="4" w:space="0" w:color="auto"/>
              <w:bottom w:val="single" w:sz="4" w:space="0" w:color="auto"/>
            </w:tcBorders>
            <w:vAlign w:val="center"/>
          </w:tcPr>
          <w:p w:rsidR="00C47CD0" w:rsidRDefault="00081AE9">
            <w:pPr>
              <w:jc w:val="center"/>
              <w:rPr>
                <w:szCs w:val="21"/>
              </w:rPr>
            </w:pPr>
            <w:r>
              <w:rPr>
                <w:rFonts w:hint="eastAsia"/>
                <w:szCs w:val="21"/>
              </w:rPr>
              <w:t xml:space="preserve">12.1 </w:t>
            </w:r>
          </w:p>
        </w:tc>
      </w:tr>
    </w:tbl>
    <w:p w:rsidR="00C47CD0" w:rsidRDefault="00C47CD0">
      <w:pPr>
        <w:shd w:val="clear" w:color="auto" w:fill="FFFFFF"/>
        <w:snapToGrid w:val="0"/>
        <w:spacing w:line="480" w:lineRule="exact"/>
        <w:jc w:val="center"/>
        <w:rPr>
          <w:rFonts w:ascii="宋体" w:hAnsi="宋体"/>
          <w:color w:val="000000" w:themeColor="text1"/>
          <w:sz w:val="24"/>
        </w:rPr>
      </w:pPr>
    </w:p>
    <w:p w:rsidR="00C47CD0" w:rsidRDefault="00C47CD0">
      <w:pPr>
        <w:shd w:val="clear" w:color="auto" w:fill="FFFFFF"/>
        <w:snapToGrid w:val="0"/>
        <w:spacing w:line="480" w:lineRule="exact"/>
        <w:jc w:val="center"/>
        <w:rPr>
          <w:rFonts w:ascii="宋体" w:hAnsi="宋体"/>
          <w:color w:val="000000" w:themeColor="text1"/>
          <w:sz w:val="24"/>
        </w:rPr>
      </w:pPr>
    </w:p>
    <w:p w:rsidR="00C47CD0" w:rsidRDefault="00C47CD0">
      <w:pPr>
        <w:shd w:val="clear" w:color="auto" w:fill="FFFFFF"/>
        <w:snapToGrid w:val="0"/>
        <w:spacing w:line="480" w:lineRule="exact"/>
        <w:jc w:val="center"/>
        <w:rPr>
          <w:rFonts w:ascii="宋体" w:hAnsi="宋体"/>
          <w:color w:val="000000" w:themeColor="text1"/>
          <w:sz w:val="24"/>
        </w:rPr>
      </w:pPr>
    </w:p>
    <w:p w:rsidR="00C47CD0" w:rsidRDefault="00081AE9">
      <w:pPr>
        <w:shd w:val="clear" w:color="auto" w:fill="FFFFFF"/>
        <w:snapToGrid w:val="0"/>
        <w:spacing w:line="480" w:lineRule="exact"/>
        <w:jc w:val="center"/>
        <w:rPr>
          <w:rFonts w:ascii="宋体" w:hAnsi="宋体"/>
          <w:color w:val="000000" w:themeColor="text1"/>
          <w:sz w:val="28"/>
          <w:szCs w:val="28"/>
        </w:rPr>
      </w:pPr>
      <w:r>
        <w:rPr>
          <w:rFonts w:ascii="宋体" w:hAnsi="宋体" w:hint="eastAsia"/>
          <w:color w:val="000000" w:themeColor="text1"/>
          <w:sz w:val="24"/>
        </w:rPr>
        <w:lastRenderedPageBreak/>
        <w:t>表5</w:t>
      </w:r>
      <w:r>
        <w:rPr>
          <w:rFonts w:ascii="宋体" w:hAnsi="宋体" w:hint="eastAsia"/>
          <w:b/>
          <w:color w:val="000000" w:themeColor="text1"/>
          <w:sz w:val="24"/>
        </w:rPr>
        <w:t xml:space="preserve">   </w:t>
      </w:r>
      <w:r>
        <w:rPr>
          <w:rFonts w:ascii="宋体" w:hAnsi="宋体" w:hint="eastAsia"/>
          <w:b/>
          <w:color w:val="000000" w:themeColor="text1"/>
          <w:sz w:val="28"/>
          <w:szCs w:val="28"/>
        </w:rPr>
        <w:t>实践教学学分占总学分比例</w:t>
      </w:r>
      <w:r>
        <w:rPr>
          <w:rFonts w:ascii="宋体" w:hAnsi="宋体" w:hint="eastAsia"/>
          <w:color w:val="000000" w:themeColor="text1"/>
          <w:sz w:val="28"/>
          <w:szCs w:val="28"/>
        </w:rPr>
        <w:t>（%）</w:t>
      </w:r>
    </w:p>
    <w:tbl>
      <w:tblPr>
        <w:tblpPr w:leftFromText="180" w:rightFromText="180" w:vertAnchor="text" w:horzAnchor="margin" w:tblpXSpec="center" w:tblpY="195"/>
        <w:tblW w:w="8388" w:type="dxa"/>
        <w:tblLayout w:type="fixed"/>
        <w:tblLook w:val="04A0" w:firstRow="1" w:lastRow="0" w:firstColumn="1" w:lastColumn="0" w:noHBand="0" w:noVBand="1"/>
      </w:tblPr>
      <w:tblGrid>
        <w:gridCol w:w="1443"/>
        <w:gridCol w:w="1298"/>
        <w:gridCol w:w="1322"/>
        <w:gridCol w:w="1298"/>
        <w:gridCol w:w="1298"/>
        <w:gridCol w:w="1729"/>
      </w:tblGrid>
      <w:tr w:rsidR="00C47CD0">
        <w:trPr>
          <w:trHeight w:val="575"/>
          <w:tblHeader/>
        </w:trPr>
        <w:tc>
          <w:tcPr>
            <w:tcW w:w="1443" w:type="dxa"/>
            <w:tcBorders>
              <w:top w:val="single" w:sz="4" w:space="0" w:color="auto"/>
              <w:bottom w:val="single" w:sz="4" w:space="0" w:color="auto"/>
            </w:tcBorders>
            <w:vAlign w:val="center"/>
          </w:tcPr>
          <w:p w:rsidR="00C47CD0" w:rsidRDefault="00081AE9">
            <w:pPr>
              <w:widowControl/>
              <w:jc w:val="center"/>
              <w:rPr>
                <w:rFonts w:ascii="宋体" w:hAnsi="宋体" w:cs="宋体"/>
                <w:b/>
                <w:kern w:val="0"/>
                <w:sz w:val="24"/>
              </w:rPr>
            </w:pPr>
            <w:r>
              <w:rPr>
                <w:rFonts w:ascii="宋体" w:hAnsi="宋体" w:cs="宋体" w:hint="eastAsia"/>
                <w:b/>
                <w:kern w:val="0"/>
                <w:sz w:val="24"/>
              </w:rPr>
              <w:t>学科门类</w:t>
            </w:r>
          </w:p>
        </w:tc>
        <w:tc>
          <w:tcPr>
            <w:tcW w:w="1298" w:type="dxa"/>
            <w:tcBorders>
              <w:top w:val="single" w:sz="4" w:space="0" w:color="auto"/>
              <w:bottom w:val="single" w:sz="4" w:space="0" w:color="auto"/>
            </w:tcBorders>
            <w:vAlign w:val="center"/>
          </w:tcPr>
          <w:p w:rsidR="00C47CD0" w:rsidRDefault="00081AE9">
            <w:pPr>
              <w:widowControl/>
              <w:jc w:val="center"/>
              <w:rPr>
                <w:rFonts w:ascii="宋体" w:hAnsi="宋体" w:cs="宋体"/>
                <w:b/>
                <w:kern w:val="0"/>
                <w:sz w:val="24"/>
              </w:rPr>
            </w:pPr>
            <w:r>
              <w:rPr>
                <w:rFonts w:ascii="宋体" w:hAnsi="宋体" w:cs="宋体" w:hint="eastAsia"/>
                <w:b/>
                <w:kern w:val="0"/>
                <w:sz w:val="24"/>
              </w:rPr>
              <w:t>毕业学分</w:t>
            </w:r>
          </w:p>
        </w:tc>
        <w:tc>
          <w:tcPr>
            <w:tcW w:w="1322" w:type="dxa"/>
            <w:tcBorders>
              <w:top w:val="single" w:sz="4" w:space="0" w:color="auto"/>
              <w:bottom w:val="single" w:sz="4" w:space="0" w:color="auto"/>
            </w:tcBorders>
            <w:vAlign w:val="center"/>
          </w:tcPr>
          <w:p w:rsidR="00C47CD0" w:rsidRDefault="00081AE9">
            <w:pPr>
              <w:widowControl/>
              <w:jc w:val="center"/>
              <w:rPr>
                <w:rFonts w:ascii="宋体" w:hAnsi="宋体" w:cs="宋体"/>
                <w:b/>
                <w:kern w:val="0"/>
                <w:sz w:val="24"/>
              </w:rPr>
            </w:pPr>
            <w:r>
              <w:rPr>
                <w:rFonts w:ascii="宋体" w:hAnsi="宋体" w:cs="宋体" w:hint="eastAsia"/>
                <w:b/>
                <w:kern w:val="0"/>
                <w:sz w:val="24"/>
              </w:rPr>
              <w:t>实践教学环节学分</w:t>
            </w:r>
          </w:p>
        </w:tc>
        <w:tc>
          <w:tcPr>
            <w:tcW w:w="1298" w:type="dxa"/>
            <w:tcBorders>
              <w:top w:val="single" w:sz="4" w:space="0" w:color="auto"/>
              <w:bottom w:val="single" w:sz="4" w:space="0" w:color="auto"/>
            </w:tcBorders>
            <w:vAlign w:val="center"/>
          </w:tcPr>
          <w:p w:rsidR="00C47CD0" w:rsidRDefault="00081AE9">
            <w:pPr>
              <w:widowControl/>
              <w:jc w:val="center"/>
              <w:rPr>
                <w:rFonts w:ascii="宋体" w:hAnsi="宋体" w:cs="宋体"/>
                <w:b/>
                <w:kern w:val="0"/>
                <w:sz w:val="24"/>
              </w:rPr>
            </w:pPr>
            <w:r>
              <w:rPr>
                <w:rFonts w:ascii="宋体" w:hAnsi="宋体" w:cs="宋体" w:hint="eastAsia"/>
                <w:b/>
                <w:kern w:val="0"/>
                <w:sz w:val="24"/>
              </w:rPr>
              <w:t>实验学分</w:t>
            </w:r>
          </w:p>
        </w:tc>
        <w:tc>
          <w:tcPr>
            <w:tcW w:w="1298" w:type="dxa"/>
            <w:tcBorders>
              <w:top w:val="single" w:sz="4" w:space="0" w:color="auto"/>
              <w:bottom w:val="single" w:sz="4" w:space="0" w:color="auto"/>
            </w:tcBorders>
            <w:vAlign w:val="center"/>
          </w:tcPr>
          <w:p w:rsidR="00C47CD0" w:rsidRDefault="00081AE9">
            <w:pPr>
              <w:widowControl/>
              <w:jc w:val="center"/>
              <w:rPr>
                <w:rFonts w:ascii="宋体" w:hAnsi="宋体" w:cs="宋体"/>
                <w:b/>
                <w:kern w:val="0"/>
                <w:sz w:val="24"/>
              </w:rPr>
            </w:pPr>
            <w:r>
              <w:rPr>
                <w:rFonts w:ascii="宋体" w:hAnsi="宋体" w:cs="宋体" w:hint="eastAsia"/>
                <w:b/>
                <w:kern w:val="0"/>
                <w:sz w:val="24"/>
              </w:rPr>
              <w:t>实践</w:t>
            </w:r>
          </w:p>
          <w:p w:rsidR="00C47CD0" w:rsidRDefault="00081AE9">
            <w:pPr>
              <w:widowControl/>
              <w:jc w:val="center"/>
              <w:rPr>
                <w:rFonts w:ascii="宋体" w:hAnsi="宋体" w:cs="宋体"/>
                <w:b/>
                <w:kern w:val="0"/>
                <w:sz w:val="24"/>
              </w:rPr>
            </w:pPr>
            <w:r>
              <w:rPr>
                <w:rFonts w:ascii="宋体" w:hAnsi="宋体" w:cs="宋体" w:hint="eastAsia"/>
                <w:b/>
                <w:kern w:val="0"/>
                <w:sz w:val="24"/>
              </w:rPr>
              <w:t>总学分</w:t>
            </w:r>
          </w:p>
        </w:tc>
        <w:tc>
          <w:tcPr>
            <w:tcW w:w="1729" w:type="dxa"/>
            <w:tcBorders>
              <w:top w:val="single" w:sz="4" w:space="0" w:color="auto"/>
              <w:bottom w:val="single" w:sz="4" w:space="0" w:color="auto"/>
            </w:tcBorders>
            <w:vAlign w:val="center"/>
          </w:tcPr>
          <w:p w:rsidR="00C47CD0" w:rsidRDefault="00081AE9">
            <w:pPr>
              <w:widowControl/>
              <w:jc w:val="center"/>
              <w:rPr>
                <w:rFonts w:ascii="宋体" w:hAnsi="宋体" w:cs="宋体"/>
                <w:b/>
                <w:kern w:val="0"/>
                <w:sz w:val="24"/>
              </w:rPr>
            </w:pPr>
            <w:r>
              <w:rPr>
                <w:rFonts w:ascii="宋体" w:hAnsi="宋体" w:cs="宋体" w:hint="eastAsia"/>
                <w:b/>
                <w:kern w:val="0"/>
                <w:sz w:val="24"/>
              </w:rPr>
              <w:t>实践学分</w:t>
            </w:r>
          </w:p>
          <w:p w:rsidR="00C47CD0" w:rsidRDefault="00081AE9">
            <w:pPr>
              <w:widowControl/>
              <w:jc w:val="center"/>
              <w:rPr>
                <w:rFonts w:ascii="宋体" w:hAnsi="宋体" w:cs="宋体"/>
                <w:b/>
                <w:kern w:val="0"/>
                <w:sz w:val="24"/>
              </w:rPr>
            </w:pPr>
            <w:r>
              <w:rPr>
                <w:rFonts w:ascii="宋体" w:hAnsi="宋体" w:cs="宋体" w:hint="eastAsia"/>
                <w:b/>
                <w:kern w:val="0"/>
                <w:sz w:val="24"/>
              </w:rPr>
              <w:t>比例</w:t>
            </w:r>
          </w:p>
        </w:tc>
      </w:tr>
      <w:tr w:rsidR="00C47CD0">
        <w:trPr>
          <w:trHeight w:val="360"/>
        </w:trPr>
        <w:tc>
          <w:tcPr>
            <w:tcW w:w="1443" w:type="dxa"/>
            <w:tcBorders>
              <w:top w:val="single" w:sz="4" w:space="0" w:color="auto"/>
            </w:tcBorders>
            <w:vAlign w:val="center"/>
          </w:tcPr>
          <w:p w:rsidR="00C47CD0" w:rsidRDefault="00081AE9">
            <w:pPr>
              <w:widowControl/>
              <w:jc w:val="left"/>
              <w:rPr>
                <w:rFonts w:ascii="宋体" w:hAnsi="宋体" w:cs="宋体"/>
                <w:kern w:val="0"/>
                <w:sz w:val="24"/>
              </w:rPr>
            </w:pPr>
            <w:r>
              <w:rPr>
                <w:rFonts w:ascii="宋体" w:hAnsi="宋体" w:cs="宋体" w:hint="eastAsia"/>
                <w:kern w:val="0"/>
                <w:sz w:val="24"/>
              </w:rPr>
              <w:t>经济学</w:t>
            </w:r>
          </w:p>
        </w:tc>
        <w:tc>
          <w:tcPr>
            <w:tcW w:w="1298" w:type="dxa"/>
            <w:tcBorders>
              <w:top w:val="single" w:sz="4" w:space="0" w:color="auto"/>
            </w:tcBorders>
            <w:vAlign w:val="center"/>
          </w:tcPr>
          <w:p w:rsidR="00C47CD0" w:rsidRDefault="00081AE9">
            <w:pPr>
              <w:jc w:val="center"/>
              <w:rPr>
                <w:szCs w:val="21"/>
              </w:rPr>
            </w:pPr>
            <w:r>
              <w:rPr>
                <w:rFonts w:hint="eastAsia"/>
                <w:szCs w:val="21"/>
              </w:rPr>
              <w:t>184</w:t>
            </w:r>
          </w:p>
        </w:tc>
        <w:tc>
          <w:tcPr>
            <w:tcW w:w="1322" w:type="dxa"/>
            <w:tcBorders>
              <w:top w:val="single" w:sz="4" w:space="0" w:color="auto"/>
            </w:tcBorders>
            <w:vAlign w:val="center"/>
          </w:tcPr>
          <w:p w:rsidR="00C47CD0" w:rsidRDefault="00081AE9">
            <w:pPr>
              <w:jc w:val="center"/>
              <w:rPr>
                <w:szCs w:val="21"/>
              </w:rPr>
            </w:pPr>
            <w:r>
              <w:rPr>
                <w:rFonts w:hint="eastAsia"/>
                <w:szCs w:val="21"/>
              </w:rPr>
              <w:t>35</w:t>
            </w:r>
          </w:p>
        </w:tc>
        <w:tc>
          <w:tcPr>
            <w:tcW w:w="1298" w:type="dxa"/>
            <w:tcBorders>
              <w:top w:val="single" w:sz="4" w:space="0" w:color="auto"/>
            </w:tcBorders>
            <w:vAlign w:val="center"/>
          </w:tcPr>
          <w:p w:rsidR="00C47CD0" w:rsidRDefault="00081AE9">
            <w:pPr>
              <w:jc w:val="center"/>
              <w:rPr>
                <w:szCs w:val="21"/>
              </w:rPr>
            </w:pPr>
            <w:r>
              <w:rPr>
                <w:rFonts w:hint="eastAsia"/>
                <w:szCs w:val="21"/>
              </w:rPr>
              <w:t>8.5</w:t>
            </w:r>
          </w:p>
        </w:tc>
        <w:tc>
          <w:tcPr>
            <w:tcW w:w="1298" w:type="dxa"/>
            <w:tcBorders>
              <w:top w:val="single" w:sz="4" w:space="0" w:color="auto"/>
            </w:tcBorders>
            <w:vAlign w:val="center"/>
          </w:tcPr>
          <w:p w:rsidR="00C47CD0" w:rsidRDefault="00081AE9">
            <w:pPr>
              <w:jc w:val="center"/>
              <w:rPr>
                <w:szCs w:val="21"/>
              </w:rPr>
            </w:pPr>
            <w:r>
              <w:rPr>
                <w:rFonts w:hint="eastAsia"/>
                <w:szCs w:val="21"/>
              </w:rPr>
              <w:t>43.5</w:t>
            </w:r>
          </w:p>
        </w:tc>
        <w:tc>
          <w:tcPr>
            <w:tcW w:w="1729" w:type="dxa"/>
            <w:tcBorders>
              <w:top w:val="single" w:sz="4" w:space="0" w:color="auto"/>
            </w:tcBorders>
            <w:vAlign w:val="center"/>
          </w:tcPr>
          <w:p w:rsidR="00C47CD0" w:rsidRDefault="00081AE9">
            <w:pPr>
              <w:jc w:val="center"/>
              <w:rPr>
                <w:szCs w:val="21"/>
              </w:rPr>
            </w:pPr>
            <w:r>
              <w:rPr>
                <w:rFonts w:hint="eastAsia"/>
                <w:szCs w:val="21"/>
              </w:rPr>
              <w:t>23.64</w:t>
            </w:r>
          </w:p>
        </w:tc>
      </w:tr>
      <w:tr w:rsidR="00C47CD0">
        <w:trPr>
          <w:trHeight w:val="360"/>
        </w:trPr>
        <w:tc>
          <w:tcPr>
            <w:tcW w:w="1443" w:type="dxa"/>
            <w:vAlign w:val="center"/>
          </w:tcPr>
          <w:p w:rsidR="00C47CD0" w:rsidRDefault="00081AE9">
            <w:pPr>
              <w:widowControl/>
              <w:jc w:val="left"/>
              <w:rPr>
                <w:rFonts w:ascii="宋体" w:hAnsi="宋体" w:cs="宋体"/>
                <w:kern w:val="0"/>
                <w:sz w:val="24"/>
              </w:rPr>
            </w:pPr>
            <w:r>
              <w:rPr>
                <w:rFonts w:ascii="宋体" w:hAnsi="宋体" w:cs="宋体" w:hint="eastAsia"/>
                <w:kern w:val="0"/>
                <w:sz w:val="24"/>
              </w:rPr>
              <w:t>工学</w:t>
            </w:r>
          </w:p>
        </w:tc>
        <w:tc>
          <w:tcPr>
            <w:tcW w:w="1298" w:type="dxa"/>
            <w:vAlign w:val="center"/>
          </w:tcPr>
          <w:p w:rsidR="00C47CD0" w:rsidRDefault="00081AE9">
            <w:pPr>
              <w:jc w:val="center"/>
              <w:rPr>
                <w:szCs w:val="21"/>
              </w:rPr>
            </w:pPr>
            <w:r>
              <w:rPr>
                <w:rFonts w:hint="eastAsia"/>
                <w:szCs w:val="21"/>
              </w:rPr>
              <w:t>179.48</w:t>
            </w:r>
          </w:p>
        </w:tc>
        <w:tc>
          <w:tcPr>
            <w:tcW w:w="1322" w:type="dxa"/>
            <w:vAlign w:val="center"/>
          </w:tcPr>
          <w:p w:rsidR="00C47CD0" w:rsidRDefault="00081AE9">
            <w:pPr>
              <w:jc w:val="center"/>
              <w:rPr>
                <w:szCs w:val="21"/>
              </w:rPr>
            </w:pPr>
            <w:r>
              <w:rPr>
                <w:rFonts w:hint="eastAsia"/>
                <w:szCs w:val="21"/>
              </w:rPr>
              <w:t>34.08</w:t>
            </w:r>
          </w:p>
        </w:tc>
        <w:tc>
          <w:tcPr>
            <w:tcW w:w="1298" w:type="dxa"/>
            <w:vAlign w:val="center"/>
          </w:tcPr>
          <w:p w:rsidR="00C47CD0" w:rsidRDefault="00081AE9">
            <w:pPr>
              <w:jc w:val="center"/>
              <w:rPr>
                <w:szCs w:val="21"/>
              </w:rPr>
            </w:pPr>
            <w:r>
              <w:rPr>
                <w:rFonts w:hint="eastAsia"/>
                <w:szCs w:val="21"/>
              </w:rPr>
              <w:t>21</w:t>
            </w:r>
          </w:p>
        </w:tc>
        <w:tc>
          <w:tcPr>
            <w:tcW w:w="1298" w:type="dxa"/>
            <w:vAlign w:val="center"/>
          </w:tcPr>
          <w:p w:rsidR="00C47CD0" w:rsidRDefault="00081AE9">
            <w:pPr>
              <w:jc w:val="center"/>
              <w:rPr>
                <w:szCs w:val="21"/>
              </w:rPr>
            </w:pPr>
            <w:r>
              <w:rPr>
                <w:rFonts w:hint="eastAsia"/>
                <w:szCs w:val="21"/>
              </w:rPr>
              <w:t>55.08</w:t>
            </w:r>
          </w:p>
        </w:tc>
        <w:tc>
          <w:tcPr>
            <w:tcW w:w="1729" w:type="dxa"/>
            <w:vAlign w:val="center"/>
          </w:tcPr>
          <w:p w:rsidR="00C47CD0" w:rsidRDefault="00081AE9">
            <w:pPr>
              <w:jc w:val="center"/>
              <w:rPr>
                <w:szCs w:val="21"/>
              </w:rPr>
            </w:pPr>
            <w:r>
              <w:rPr>
                <w:rFonts w:hint="eastAsia"/>
                <w:szCs w:val="21"/>
              </w:rPr>
              <w:t>30.69</w:t>
            </w:r>
          </w:p>
        </w:tc>
      </w:tr>
      <w:tr w:rsidR="00C47CD0">
        <w:trPr>
          <w:trHeight w:val="360"/>
        </w:trPr>
        <w:tc>
          <w:tcPr>
            <w:tcW w:w="1443" w:type="dxa"/>
            <w:vAlign w:val="center"/>
          </w:tcPr>
          <w:p w:rsidR="00C47CD0" w:rsidRDefault="00081AE9">
            <w:pPr>
              <w:widowControl/>
              <w:jc w:val="left"/>
              <w:rPr>
                <w:rFonts w:ascii="宋体" w:hAnsi="宋体" w:cs="宋体"/>
                <w:kern w:val="0"/>
                <w:sz w:val="24"/>
              </w:rPr>
            </w:pPr>
            <w:r>
              <w:rPr>
                <w:rFonts w:ascii="宋体" w:hAnsi="宋体" w:cs="宋体" w:hint="eastAsia"/>
                <w:kern w:val="0"/>
                <w:sz w:val="24"/>
              </w:rPr>
              <w:t>管理学</w:t>
            </w:r>
          </w:p>
        </w:tc>
        <w:tc>
          <w:tcPr>
            <w:tcW w:w="1298" w:type="dxa"/>
            <w:vAlign w:val="center"/>
          </w:tcPr>
          <w:p w:rsidR="00C47CD0" w:rsidRDefault="00081AE9">
            <w:pPr>
              <w:jc w:val="center"/>
              <w:rPr>
                <w:szCs w:val="21"/>
              </w:rPr>
            </w:pPr>
            <w:r>
              <w:rPr>
                <w:rFonts w:hint="eastAsia"/>
                <w:szCs w:val="21"/>
              </w:rPr>
              <w:t>175.25</w:t>
            </w:r>
          </w:p>
        </w:tc>
        <w:tc>
          <w:tcPr>
            <w:tcW w:w="1322" w:type="dxa"/>
            <w:vAlign w:val="center"/>
          </w:tcPr>
          <w:p w:rsidR="00C47CD0" w:rsidRDefault="00081AE9">
            <w:pPr>
              <w:jc w:val="center"/>
              <w:rPr>
                <w:szCs w:val="21"/>
              </w:rPr>
            </w:pPr>
            <w:r>
              <w:rPr>
                <w:rFonts w:hint="eastAsia"/>
                <w:szCs w:val="21"/>
              </w:rPr>
              <w:t>33.63</w:t>
            </w:r>
          </w:p>
        </w:tc>
        <w:tc>
          <w:tcPr>
            <w:tcW w:w="1298" w:type="dxa"/>
            <w:vAlign w:val="center"/>
          </w:tcPr>
          <w:p w:rsidR="00C47CD0" w:rsidRDefault="00081AE9">
            <w:pPr>
              <w:jc w:val="center"/>
              <w:rPr>
                <w:szCs w:val="21"/>
              </w:rPr>
            </w:pPr>
            <w:r>
              <w:rPr>
                <w:rFonts w:hint="eastAsia"/>
                <w:szCs w:val="21"/>
              </w:rPr>
              <w:t>15</w:t>
            </w:r>
          </w:p>
        </w:tc>
        <w:tc>
          <w:tcPr>
            <w:tcW w:w="1298" w:type="dxa"/>
            <w:vAlign w:val="center"/>
          </w:tcPr>
          <w:p w:rsidR="00C47CD0" w:rsidRDefault="00081AE9">
            <w:pPr>
              <w:jc w:val="center"/>
              <w:rPr>
                <w:szCs w:val="21"/>
              </w:rPr>
            </w:pPr>
            <w:r>
              <w:rPr>
                <w:rFonts w:hint="eastAsia"/>
                <w:szCs w:val="21"/>
              </w:rPr>
              <w:t>48.63</w:t>
            </w:r>
          </w:p>
        </w:tc>
        <w:tc>
          <w:tcPr>
            <w:tcW w:w="1729" w:type="dxa"/>
            <w:vAlign w:val="center"/>
          </w:tcPr>
          <w:p w:rsidR="00C47CD0" w:rsidRDefault="00081AE9">
            <w:pPr>
              <w:jc w:val="center"/>
              <w:rPr>
                <w:szCs w:val="21"/>
              </w:rPr>
            </w:pPr>
            <w:r>
              <w:rPr>
                <w:rFonts w:hint="eastAsia"/>
                <w:szCs w:val="21"/>
              </w:rPr>
              <w:t>27.75</w:t>
            </w:r>
          </w:p>
        </w:tc>
      </w:tr>
      <w:tr w:rsidR="00C47CD0">
        <w:trPr>
          <w:trHeight w:val="360"/>
        </w:trPr>
        <w:tc>
          <w:tcPr>
            <w:tcW w:w="1443" w:type="dxa"/>
            <w:vAlign w:val="center"/>
          </w:tcPr>
          <w:p w:rsidR="00C47CD0" w:rsidRDefault="00081AE9">
            <w:pPr>
              <w:widowControl/>
              <w:jc w:val="left"/>
              <w:rPr>
                <w:rFonts w:ascii="宋体" w:hAnsi="宋体" w:cs="宋体"/>
                <w:kern w:val="0"/>
                <w:sz w:val="24"/>
              </w:rPr>
            </w:pPr>
            <w:r>
              <w:rPr>
                <w:rFonts w:ascii="宋体" w:hAnsi="宋体" w:cs="宋体" w:hint="eastAsia"/>
                <w:kern w:val="0"/>
                <w:sz w:val="24"/>
              </w:rPr>
              <w:t>文学</w:t>
            </w:r>
          </w:p>
        </w:tc>
        <w:tc>
          <w:tcPr>
            <w:tcW w:w="1298" w:type="dxa"/>
            <w:vAlign w:val="center"/>
          </w:tcPr>
          <w:p w:rsidR="00C47CD0" w:rsidRDefault="00081AE9">
            <w:pPr>
              <w:jc w:val="center"/>
              <w:rPr>
                <w:szCs w:val="21"/>
              </w:rPr>
            </w:pPr>
            <w:r>
              <w:rPr>
                <w:rFonts w:hint="eastAsia"/>
                <w:szCs w:val="21"/>
              </w:rPr>
              <w:t>182.33</w:t>
            </w:r>
          </w:p>
        </w:tc>
        <w:tc>
          <w:tcPr>
            <w:tcW w:w="1322" w:type="dxa"/>
            <w:vAlign w:val="center"/>
          </w:tcPr>
          <w:p w:rsidR="00C47CD0" w:rsidRDefault="00081AE9">
            <w:pPr>
              <w:jc w:val="center"/>
              <w:rPr>
                <w:szCs w:val="21"/>
              </w:rPr>
            </w:pPr>
            <w:r>
              <w:rPr>
                <w:rFonts w:hint="eastAsia"/>
                <w:szCs w:val="21"/>
              </w:rPr>
              <w:t>42.33</w:t>
            </w:r>
          </w:p>
        </w:tc>
        <w:tc>
          <w:tcPr>
            <w:tcW w:w="1298" w:type="dxa"/>
            <w:vAlign w:val="center"/>
          </w:tcPr>
          <w:p w:rsidR="00C47CD0" w:rsidRDefault="00081AE9">
            <w:pPr>
              <w:jc w:val="center"/>
              <w:rPr>
                <w:szCs w:val="21"/>
              </w:rPr>
            </w:pPr>
            <w:r>
              <w:rPr>
                <w:rFonts w:hint="eastAsia"/>
                <w:szCs w:val="21"/>
              </w:rPr>
              <w:t>1.33</w:t>
            </w:r>
          </w:p>
        </w:tc>
        <w:tc>
          <w:tcPr>
            <w:tcW w:w="1298" w:type="dxa"/>
            <w:vAlign w:val="center"/>
          </w:tcPr>
          <w:p w:rsidR="00C47CD0" w:rsidRDefault="00081AE9">
            <w:pPr>
              <w:jc w:val="center"/>
              <w:rPr>
                <w:szCs w:val="21"/>
              </w:rPr>
            </w:pPr>
            <w:r>
              <w:rPr>
                <w:rFonts w:hint="eastAsia"/>
                <w:szCs w:val="21"/>
              </w:rPr>
              <w:t>43.66</w:t>
            </w:r>
          </w:p>
        </w:tc>
        <w:tc>
          <w:tcPr>
            <w:tcW w:w="1729" w:type="dxa"/>
            <w:vAlign w:val="center"/>
          </w:tcPr>
          <w:p w:rsidR="00C47CD0" w:rsidRDefault="00081AE9">
            <w:pPr>
              <w:jc w:val="center"/>
              <w:rPr>
                <w:szCs w:val="21"/>
              </w:rPr>
            </w:pPr>
            <w:r>
              <w:rPr>
                <w:rFonts w:hint="eastAsia"/>
                <w:szCs w:val="21"/>
              </w:rPr>
              <w:t>23.95</w:t>
            </w:r>
          </w:p>
        </w:tc>
      </w:tr>
      <w:tr w:rsidR="00C47CD0">
        <w:trPr>
          <w:trHeight w:val="360"/>
        </w:trPr>
        <w:tc>
          <w:tcPr>
            <w:tcW w:w="1443" w:type="dxa"/>
            <w:vAlign w:val="center"/>
          </w:tcPr>
          <w:p w:rsidR="00C47CD0" w:rsidRDefault="00081AE9">
            <w:pPr>
              <w:widowControl/>
              <w:jc w:val="left"/>
              <w:rPr>
                <w:rFonts w:ascii="宋体" w:hAnsi="宋体" w:cs="宋体"/>
                <w:kern w:val="0"/>
                <w:sz w:val="24"/>
              </w:rPr>
            </w:pPr>
            <w:r>
              <w:rPr>
                <w:rFonts w:ascii="宋体" w:hAnsi="宋体" w:cs="宋体" w:hint="eastAsia"/>
                <w:kern w:val="0"/>
                <w:sz w:val="24"/>
              </w:rPr>
              <w:t>法学</w:t>
            </w:r>
          </w:p>
        </w:tc>
        <w:tc>
          <w:tcPr>
            <w:tcW w:w="1298" w:type="dxa"/>
            <w:vAlign w:val="center"/>
          </w:tcPr>
          <w:p w:rsidR="00C47CD0" w:rsidRDefault="00081AE9">
            <w:pPr>
              <w:jc w:val="center"/>
              <w:rPr>
                <w:szCs w:val="21"/>
              </w:rPr>
            </w:pPr>
            <w:r>
              <w:rPr>
                <w:rFonts w:hint="eastAsia"/>
                <w:szCs w:val="21"/>
              </w:rPr>
              <w:t>179.5</w:t>
            </w:r>
          </w:p>
        </w:tc>
        <w:tc>
          <w:tcPr>
            <w:tcW w:w="1322" w:type="dxa"/>
            <w:vAlign w:val="center"/>
          </w:tcPr>
          <w:p w:rsidR="00C47CD0" w:rsidRDefault="00081AE9">
            <w:pPr>
              <w:jc w:val="center"/>
              <w:rPr>
                <w:szCs w:val="21"/>
              </w:rPr>
            </w:pPr>
            <w:r>
              <w:rPr>
                <w:rFonts w:hint="eastAsia"/>
                <w:szCs w:val="21"/>
              </w:rPr>
              <w:t>37</w:t>
            </w:r>
          </w:p>
        </w:tc>
        <w:tc>
          <w:tcPr>
            <w:tcW w:w="1298" w:type="dxa"/>
            <w:vAlign w:val="center"/>
          </w:tcPr>
          <w:p w:rsidR="00C47CD0" w:rsidRDefault="00081AE9">
            <w:pPr>
              <w:jc w:val="center"/>
              <w:rPr>
                <w:szCs w:val="21"/>
              </w:rPr>
            </w:pPr>
            <w:r>
              <w:rPr>
                <w:rFonts w:hint="eastAsia"/>
                <w:szCs w:val="21"/>
              </w:rPr>
              <w:t>9</w:t>
            </w:r>
          </w:p>
        </w:tc>
        <w:tc>
          <w:tcPr>
            <w:tcW w:w="1298" w:type="dxa"/>
            <w:vAlign w:val="center"/>
          </w:tcPr>
          <w:p w:rsidR="00C47CD0" w:rsidRDefault="00081AE9">
            <w:pPr>
              <w:jc w:val="center"/>
              <w:rPr>
                <w:szCs w:val="21"/>
              </w:rPr>
            </w:pPr>
            <w:r>
              <w:rPr>
                <w:rFonts w:hint="eastAsia"/>
                <w:szCs w:val="21"/>
              </w:rPr>
              <w:t>46</w:t>
            </w:r>
          </w:p>
        </w:tc>
        <w:tc>
          <w:tcPr>
            <w:tcW w:w="1729" w:type="dxa"/>
            <w:vAlign w:val="center"/>
          </w:tcPr>
          <w:p w:rsidR="00C47CD0" w:rsidRDefault="00081AE9">
            <w:pPr>
              <w:jc w:val="center"/>
              <w:rPr>
                <w:szCs w:val="21"/>
              </w:rPr>
            </w:pPr>
            <w:r>
              <w:rPr>
                <w:rFonts w:hint="eastAsia"/>
                <w:szCs w:val="21"/>
              </w:rPr>
              <w:t>25.63</w:t>
            </w:r>
          </w:p>
        </w:tc>
      </w:tr>
      <w:tr w:rsidR="00C47CD0">
        <w:trPr>
          <w:trHeight w:val="360"/>
        </w:trPr>
        <w:tc>
          <w:tcPr>
            <w:tcW w:w="1443" w:type="dxa"/>
            <w:vAlign w:val="center"/>
          </w:tcPr>
          <w:p w:rsidR="00C47CD0" w:rsidRDefault="00081AE9">
            <w:pPr>
              <w:widowControl/>
              <w:jc w:val="left"/>
              <w:rPr>
                <w:rFonts w:ascii="宋体" w:hAnsi="宋体" w:cs="宋体"/>
                <w:kern w:val="0"/>
                <w:sz w:val="24"/>
              </w:rPr>
            </w:pPr>
            <w:r>
              <w:rPr>
                <w:rFonts w:ascii="宋体" w:hAnsi="宋体" w:cs="宋体" w:hint="eastAsia"/>
                <w:kern w:val="0"/>
                <w:sz w:val="24"/>
              </w:rPr>
              <w:t>农学</w:t>
            </w:r>
          </w:p>
        </w:tc>
        <w:tc>
          <w:tcPr>
            <w:tcW w:w="1298" w:type="dxa"/>
            <w:vAlign w:val="center"/>
          </w:tcPr>
          <w:p w:rsidR="00C47CD0" w:rsidRDefault="00081AE9">
            <w:pPr>
              <w:jc w:val="center"/>
              <w:rPr>
                <w:szCs w:val="21"/>
              </w:rPr>
            </w:pPr>
            <w:r>
              <w:rPr>
                <w:rFonts w:hint="eastAsia"/>
                <w:szCs w:val="21"/>
              </w:rPr>
              <w:t>174.8</w:t>
            </w:r>
          </w:p>
        </w:tc>
        <w:tc>
          <w:tcPr>
            <w:tcW w:w="1322" w:type="dxa"/>
            <w:vAlign w:val="center"/>
          </w:tcPr>
          <w:p w:rsidR="00C47CD0" w:rsidRDefault="00081AE9">
            <w:pPr>
              <w:jc w:val="center"/>
              <w:rPr>
                <w:szCs w:val="21"/>
              </w:rPr>
            </w:pPr>
            <w:r>
              <w:rPr>
                <w:rFonts w:hint="eastAsia"/>
                <w:szCs w:val="21"/>
              </w:rPr>
              <w:t>32.68</w:t>
            </w:r>
          </w:p>
        </w:tc>
        <w:tc>
          <w:tcPr>
            <w:tcW w:w="1298" w:type="dxa"/>
            <w:vAlign w:val="center"/>
          </w:tcPr>
          <w:p w:rsidR="00C47CD0" w:rsidRDefault="00081AE9">
            <w:pPr>
              <w:jc w:val="center"/>
              <w:rPr>
                <w:szCs w:val="21"/>
              </w:rPr>
            </w:pPr>
            <w:r>
              <w:rPr>
                <w:rFonts w:hint="eastAsia"/>
                <w:szCs w:val="21"/>
              </w:rPr>
              <w:t>26.17</w:t>
            </w:r>
          </w:p>
        </w:tc>
        <w:tc>
          <w:tcPr>
            <w:tcW w:w="1298" w:type="dxa"/>
            <w:vAlign w:val="center"/>
          </w:tcPr>
          <w:p w:rsidR="00C47CD0" w:rsidRDefault="00081AE9">
            <w:pPr>
              <w:jc w:val="center"/>
              <w:rPr>
                <w:szCs w:val="21"/>
              </w:rPr>
            </w:pPr>
            <w:r>
              <w:rPr>
                <w:rFonts w:hint="eastAsia"/>
                <w:szCs w:val="21"/>
              </w:rPr>
              <w:t>58.85</w:t>
            </w:r>
          </w:p>
        </w:tc>
        <w:tc>
          <w:tcPr>
            <w:tcW w:w="1729" w:type="dxa"/>
            <w:vAlign w:val="center"/>
          </w:tcPr>
          <w:p w:rsidR="00C47CD0" w:rsidRDefault="00081AE9">
            <w:pPr>
              <w:jc w:val="center"/>
              <w:rPr>
                <w:szCs w:val="21"/>
              </w:rPr>
            </w:pPr>
            <w:r>
              <w:rPr>
                <w:rFonts w:hint="eastAsia"/>
                <w:szCs w:val="21"/>
              </w:rPr>
              <w:t>33.67</w:t>
            </w:r>
          </w:p>
        </w:tc>
      </w:tr>
      <w:tr w:rsidR="00C47CD0">
        <w:trPr>
          <w:trHeight w:val="360"/>
        </w:trPr>
        <w:tc>
          <w:tcPr>
            <w:tcW w:w="1443" w:type="dxa"/>
            <w:tcBorders>
              <w:bottom w:val="single" w:sz="4" w:space="0" w:color="auto"/>
            </w:tcBorders>
            <w:vAlign w:val="center"/>
          </w:tcPr>
          <w:p w:rsidR="00C47CD0" w:rsidRDefault="00081AE9">
            <w:pPr>
              <w:widowControl/>
              <w:jc w:val="left"/>
              <w:rPr>
                <w:rFonts w:ascii="宋体" w:hAnsi="宋体" w:cs="宋体"/>
                <w:kern w:val="0"/>
                <w:sz w:val="24"/>
              </w:rPr>
            </w:pPr>
            <w:r>
              <w:rPr>
                <w:rFonts w:ascii="宋体" w:hAnsi="宋体" w:cs="宋体" w:hint="eastAsia"/>
                <w:kern w:val="0"/>
                <w:sz w:val="24"/>
              </w:rPr>
              <w:t>理学</w:t>
            </w:r>
          </w:p>
        </w:tc>
        <w:tc>
          <w:tcPr>
            <w:tcW w:w="1298" w:type="dxa"/>
            <w:tcBorders>
              <w:bottom w:val="single" w:sz="4" w:space="0" w:color="auto"/>
            </w:tcBorders>
            <w:vAlign w:val="center"/>
          </w:tcPr>
          <w:p w:rsidR="00C47CD0" w:rsidRDefault="00081AE9">
            <w:pPr>
              <w:jc w:val="center"/>
              <w:rPr>
                <w:szCs w:val="21"/>
              </w:rPr>
            </w:pPr>
            <w:r>
              <w:rPr>
                <w:rFonts w:hint="eastAsia"/>
                <w:szCs w:val="21"/>
              </w:rPr>
              <w:t>176.63</w:t>
            </w:r>
          </w:p>
        </w:tc>
        <w:tc>
          <w:tcPr>
            <w:tcW w:w="1322" w:type="dxa"/>
            <w:tcBorders>
              <w:bottom w:val="single" w:sz="4" w:space="0" w:color="auto"/>
            </w:tcBorders>
            <w:vAlign w:val="center"/>
          </w:tcPr>
          <w:p w:rsidR="00C47CD0" w:rsidRDefault="00081AE9">
            <w:pPr>
              <w:jc w:val="center"/>
              <w:rPr>
                <w:szCs w:val="21"/>
              </w:rPr>
            </w:pPr>
            <w:r>
              <w:rPr>
                <w:rFonts w:hint="eastAsia"/>
                <w:szCs w:val="21"/>
              </w:rPr>
              <w:t>28.88</w:t>
            </w:r>
          </w:p>
        </w:tc>
        <w:tc>
          <w:tcPr>
            <w:tcW w:w="1298" w:type="dxa"/>
            <w:tcBorders>
              <w:bottom w:val="single" w:sz="4" w:space="0" w:color="auto"/>
            </w:tcBorders>
            <w:vAlign w:val="center"/>
          </w:tcPr>
          <w:p w:rsidR="00C47CD0" w:rsidRDefault="00081AE9">
            <w:pPr>
              <w:jc w:val="center"/>
              <w:rPr>
                <w:szCs w:val="21"/>
              </w:rPr>
            </w:pPr>
            <w:r>
              <w:rPr>
                <w:rFonts w:hint="eastAsia"/>
                <w:szCs w:val="21"/>
              </w:rPr>
              <w:t>24</w:t>
            </w:r>
          </w:p>
        </w:tc>
        <w:tc>
          <w:tcPr>
            <w:tcW w:w="1298" w:type="dxa"/>
            <w:tcBorders>
              <w:bottom w:val="single" w:sz="4" w:space="0" w:color="auto"/>
            </w:tcBorders>
            <w:vAlign w:val="center"/>
          </w:tcPr>
          <w:p w:rsidR="00C47CD0" w:rsidRDefault="00081AE9">
            <w:pPr>
              <w:jc w:val="center"/>
              <w:rPr>
                <w:szCs w:val="21"/>
              </w:rPr>
            </w:pPr>
            <w:r>
              <w:rPr>
                <w:rFonts w:hint="eastAsia"/>
                <w:szCs w:val="21"/>
              </w:rPr>
              <w:t>52.88</w:t>
            </w:r>
          </w:p>
        </w:tc>
        <w:tc>
          <w:tcPr>
            <w:tcW w:w="1729" w:type="dxa"/>
            <w:tcBorders>
              <w:bottom w:val="single" w:sz="4" w:space="0" w:color="auto"/>
            </w:tcBorders>
            <w:vAlign w:val="center"/>
          </w:tcPr>
          <w:p w:rsidR="00C47CD0" w:rsidRDefault="00081AE9">
            <w:pPr>
              <w:jc w:val="center"/>
              <w:rPr>
                <w:szCs w:val="21"/>
              </w:rPr>
            </w:pPr>
            <w:r>
              <w:rPr>
                <w:rFonts w:hint="eastAsia"/>
                <w:szCs w:val="21"/>
              </w:rPr>
              <w:t>29.94</w:t>
            </w:r>
          </w:p>
        </w:tc>
      </w:tr>
      <w:tr w:rsidR="00C47CD0">
        <w:trPr>
          <w:trHeight w:val="360"/>
        </w:trPr>
        <w:tc>
          <w:tcPr>
            <w:tcW w:w="1443" w:type="dxa"/>
            <w:tcBorders>
              <w:top w:val="single" w:sz="4" w:space="0" w:color="auto"/>
              <w:bottom w:val="single" w:sz="4" w:space="0" w:color="auto"/>
            </w:tcBorders>
            <w:vAlign w:val="center"/>
          </w:tcPr>
          <w:p w:rsidR="00C47CD0" w:rsidRDefault="00081AE9">
            <w:pPr>
              <w:widowControl/>
              <w:jc w:val="left"/>
              <w:rPr>
                <w:rFonts w:ascii="宋体" w:hAnsi="宋体" w:cs="宋体"/>
                <w:kern w:val="0"/>
                <w:sz w:val="24"/>
              </w:rPr>
            </w:pPr>
            <w:r>
              <w:rPr>
                <w:rFonts w:ascii="宋体" w:hAnsi="宋体" w:cs="宋体" w:hint="eastAsia"/>
                <w:kern w:val="0"/>
                <w:sz w:val="24"/>
              </w:rPr>
              <w:t>平均</w:t>
            </w:r>
          </w:p>
        </w:tc>
        <w:tc>
          <w:tcPr>
            <w:tcW w:w="1298" w:type="dxa"/>
            <w:tcBorders>
              <w:top w:val="single" w:sz="4" w:space="0" w:color="auto"/>
              <w:bottom w:val="single" w:sz="4" w:space="0" w:color="auto"/>
            </w:tcBorders>
            <w:vAlign w:val="center"/>
          </w:tcPr>
          <w:p w:rsidR="00C47CD0" w:rsidRDefault="00081AE9">
            <w:pPr>
              <w:jc w:val="center"/>
              <w:rPr>
                <w:szCs w:val="21"/>
              </w:rPr>
            </w:pPr>
            <w:r>
              <w:rPr>
                <w:rFonts w:hint="eastAsia"/>
                <w:szCs w:val="21"/>
              </w:rPr>
              <w:t xml:space="preserve">178.86 </w:t>
            </w:r>
          </w:p>
        </w:tc>
        <w:tc>
          <w:tcPr>
            <w:tcW w:w="1322" w:type="dxa"/>
            <w:tcBorders>
              <w:top w:val="single" w:sz="4" w:space="0" w:color="auto"/>
              <w:bottom w:val="single" w:sz="4" w:space="0" w:color="auto"/>
            </w:tcBorders>
            <w:vAlign w:val="center"/>
          </w:tcPr>
          <w:p w:rsidR="00C47CD0" w:rsidRDefault="00081AE9">
            <w:pPr>
              <w:jc w:val="center"/>
              <w:rPr>
                <w:szCs w:val="21"/>
              </w:rPr>
            </w:pPr>
            <w:r>
              <w:rPr>
                <w:rFonts w:hint="eastAsia"/>
                <w:szCs w:val="21"/>
              </w:rPr>
              <w:t>34.80</w:t>
            </w:r>
          </w:p>
        </w:tc>
        <w:tc>
          <w:tcPr>
            <w:tcW w:w="1298" w:type="dxa"/>
            <w:tcBorders>
              <w:top w:val="single" w:sz="4" w:space="0" w:color="auto"/>
              <w:bottom w:val="single" w:sz="4" w:space="0" w:color="auto"/>
            </w:tcBorders>
            <w:vAlign w:val="center"/>
          </w:tcPr>
          <w:p w:rsidR="00C47CD0" w:rsidRDefault="00081AE9">
            <w:pPr>
              <w:jc w:val="center"/>
              <w:rPr>
                <w:szCs w:val="21"/>
              </w:rPr>
            </w:pPr>
            <w:r>
              <w:rPr>
                <w:rFonts w:hint="eastAsia"/>
                <w:szCs w:val="21"/>
              </w:rPr>
              <w:t>15</w:t>
            </w:r>
          </w:p>
        </w:tc>
        <w:tc>
          <w:tcPr>
            <w:tcW w:w="1298" w:type="dxa"/>
            <w:tcBorders>
              <w:top w:val="single" w:sz="4" w:space="0" w:color="auto"/>
              <w:bottom w:val="single" w:sz="4" w:space="0" w:color="auto"/>
            </w:tcBorders>
            <w:vAlign w:val="center"/>
          </w:tcPr>
          <w:p w:rsidR="00C47CD0" w:rsidRDefault="00081AE9">
            <w:pPr>
              <w:jc w:val="center"/>
              <w:rPr>
                <w:szCs w:val="21"/>
              </w:rPr>
            </w:pPr>
            <w:r>
              <w:rPr>
                <w:rFonts w:hint="eastAsia"/>
                <w:szCs w:val="21"/>
              </w:rPr>
              <w:t>49.80</w:t>
            </w:r>
          </w:p>
        </w:tc>
        <w:tc>
          <w:tcPr>
            <w:tcW w:w="1729" w:type="dxa"/>
            <w:tcBorders>
              <w:top w:val="single" w:sz="4" w:space="0" w:color="auto"/>
              <w:bottom w:val="single" w:sz="4" w:space="0" w:color="auto"/>
            </w:tcBorders>
            <w:vAlign w:val="center"/>
          </w:tcPr>
          <w:p w:rsidR="00C47CD0" w:rsidRDefault="00081AE9">
            <w:pPr>
              <w:jc w:val="center"/>
              <w:rPr>
                <w:szCs w:val="21"/>
              </w:rPr>
            </w:pPr>
            <w:r>
              <w:rPr>
                <w:rFonts w:hint="eastAsia"/>
                <w:szCs w:val="21"/>
              </w:rPr>
              <w:t>27.89</w:t>
            </w:r>
          </w:p>
        </w:tc>
      </w:tr>
    </w:tbl>
    <w:p w:rsidR="00C47CD0" w:rsidRDefault="00C47CD0">
      <w:pPr>
        <w:rPr>
          <w:rFonts w:ascii="仿宋_GB2312" w:eastAsia="仿宋_GB2312"/>
          <w:color w:val="FF0000"/>
          <w:sz w:val="32"/>
          <w:szCs w:val="32"/>
        </w:rPr>
      </w:pPr>
      <w:bookmarkStart w:id="85" w:name="_Toc402443408"/>
      <w:bookmarkStart w:id="86" w:name="_Toc402374112"/>
      <w:bookmarkStart w:id="87" w:name="_Toc402443163"/>
    </w:p>
    <w:p w:rsidR="00C47CD0" w:rsidRDefault="00081AE9">
      <w:pPr>
        <w:autoSpaceDE w:val="0"/>
        <w:autoSpaceDN w:val="0"/>
        <w:ind w:firstLineChars="200" w:firstLine="643"/>
        <w:jc w:val="left"/>
        <w:outlineLvl w:val="1"/>
        <w:rPr>
          <w:rFonts w:ascii="仿宋_GB2312" w:eastAsia="仿宋_GB2312"/>
          <w:b/>
          <w:sz w:val="32"/>
          <w:szCs w:val="32"/>
        </w:rPr>
      </w:pPr>
      <w:bookmarkStart w:id="88" w:name="_Toc435713792"/>
      <w:bookmarkStart w:id="89" w:name="_Toc435713885"/>
      <w:r>
        <w:rPr>
          <w:rFonts w:ascii="仿宋_GB2312" w:eastAsia="仿宋_GB2312" w:hint="eastAsia"/>
          <w:b/>
          <w:sz w:val="32"/>
          <w:szCs w:val="32"/>
        </w:rPr>
        <w:t>（二）抓好课程建设与教材建设</w:t>
      </w:r>
      <w:bookmarkEnd w:id="85"/>
      <w:bookmarkEnd w:id="86"/>
      <w:bookmarkEnd w:id="87"/>
      <w:bookmarkEnd w:id="88"/>
      <w:bookmarkEnd w:id="89"/>
    </w:p>
    <w:p w:rsidR="00C47CD0" w:rsidRDefault="00081AE9">
      <w:pPr>
        <w:ind w:firstLineChars="200" w:firstLine="640"/>
        <w:rPr>
          <w:rFonts w:ascii="仿宋_GB2312" w:eastAsia="仿宋_GB2312" w:hAnsi="宋体"/>
          <w:sz w:val="32"/>
          <w:szCs w:val="32"/>
        </w:rPr>
      </w:pPr>
      <w:r>
        <w:rPr>
          <w:rFonts w:ascii="仿宋_GB2312" w:eastAsia="仿宋_GB2312" w:hAnsi="宋体" w:hint="eastAsia"/>
          <w:sz w:val="32"/>
          <w:szCs w:val="32"/>
        </w:rPr>
        <w:t>1、</w:t>
      </w:r>
      <w:r>
        <w:rPr>
          <w:rFonts w:ascii="仿宋_GB2312" w:eastAsia="仿宋_GB2312" w:hAnsi="宋体"/>
          <w:sz w:val="32"/>
          <w:szCs w:val="32"/>
        </w:rPr>
        <w:t>加强现代技术手段在课程建设中的应用。课程中心包含课程网站、师生互动、生生交流、作业布置、试卷库的建立与网络考试、学生学习过程管理与统计、分析、教学调查等功能。有近300门课程在建设中，有100门课程建设完成并可以使用，平台总访问量641532人次，有57门课程访问量超过1000人次，有11门课程访问量超过1万人次。</w:t>
      </w:r>
    </w:p>
    <w:p w:rsidR="00C47CD0" w:rsidRDefault="00081AE9">
      <w:pPr>
        <w:adjustRightInd w:val="0"/>
        <w:ind w:firstLineChars="200" w:firstLine="640"/>
        <w:rPr>
          <w:rFonts w:ascii="仿宋_GB2312" w:eastAsia="仿宋_GB2312" w:hAnsi="宋体"/>
          <w:sz w:val="32"/>
          <w:szCs w:val="32"/>
        </w:rPr>
      </w:pPr>
      <w:r>
        <w:rPr>
          <w:rFonts w:ascii="仿宋_GB2312" w:eastAsia="仿宋_GB2312" w:hAnsi="宋体" w:hint="eastAsia"/>
          <w:sz w:val="32"/>
          <w:szCs w:val="32"/>
        </w:rPr>
        <w:t>继续</w:t>
      </w:r>
      <w:r>
        <w:rPr>
          <w:rFonts w:ascii="仿宋_GB2312" w:eastAsia="仿宋_GB2312" w:hAnsi="宋体"/>
          <w:sz w:val="32"/>
          <w:szCs w:val="32"/>
        </w:rPr>
        <w:t>推进Python</w:t>
      </w:r>
      <w:r>
        <w:rPr>
          <w:rFonts w:ascii="仿宋_GB2312" w:eastAsia="仿宋_GB2312" w:hAnsi="宋体" w:hint="eastAsia"/>
          <w:sz w:val="32"/>
          <w:szCs w:val="32"/>
        </w:rPr>
        <w:t>程序设计导论网络课程的教学工作，2015-2016学年，通过新农慕课平台学习《Python程序设计导论》课程学生总人数为4128人。不及格人数345，不及格率是8.58%。2016-2017学年，学习该课程学生人数为3777人，目前正在按计划开课学习。</w:t>
      </w:r>
    </w:p>
    <w:p w:rsidR="00C47CD0" w:rsidRDefault="00081AE9">
      <w:pPr>
        <w:ind w:firstLineChars="200" w:firstLine="640"/>
        <w:rPr>
          <w:rFonts w:ascii="仿宋_GB2312" w:eastAsia="仿宋_GB2312" w:hAnsi="宋体"/>
          <w:sz w:val="32"/>
          <w:szCs w:val="32"/>
        </w:rPr>
      </w:pPr>
      <w:r>
        <w:rPr>
          <w:rFonts w:ascii="仿宋_GB2312" w:eastAsia="仿宋_GB2312" w:hAnsi="宋体" w:hint="eastAsia"/>
          <w:sz w:val="32"/>
          <w:szCs w:val="32"/>
        </w:rPr>
        <w:t>在公共选修课中开设了尔雅通识教育网络课和“好大学在线”通识教育网络课，春季、秋季学期和寒、暑假期间分</w:t>
      </w:r>
      <w:r>
        <w:rPr>
          <w:rFonts w:ascii="仿宋_GB2312" w:eastAsia="仿宋_GB2312" w:hAnsi="宋体" w:hint="eastAsia"/>
          <w:sz w:val="32"/>
          <w:szCs w:val="32"/>
        </w:rPr>
        <w:lastRenderedPageBreak/>
        <w:t>四期组织了6000余名学生选修了尔雅通识教育网络课和“好大学在线”通识教育网络课。同时开设了专家讲座、少数民族专家讲座、企业家讲坛等讲座类公共选修课，总体教学效果很好。</w:t>
      </w:r>
    </w:p>
    <w:p w:rsidR="00C47CD0" w:rsidRDefault="00081AE9">
      <w:pPr>
        <w:adjustRightInd w:val="0"/>
        <w:ind w:firstLineChars="200" w:firstLine="640"/>
        <w:rPr>
          <w:rFonts w:ascii="仿宋_GB2312" w:eastAsia="仿宋_GB2312" w:hAnsi="宋体"/>
          <w:color w:val="FF0000"/>
          <w:sz w:val="32"/>
          <w:szCs w:val="32"/>
        </w:rPr>
      </w:pPr>
      <w:r>
        <w:rPr>
          <w:rFonts w:ascii="仿宋_GB2312" w:eastAsia="仿宋_GB2312" w:hAnsi="宋体" w:hint="eastAsia"/>
          <w:sz w:val="32"/>
          <w:szCs w:val="32"/>
        </w:rPr>
        <w:t>2、持续开展国家级视频公开课的申报和建设。继我校2013、2014年立项建设3门国家“精品视频公开课”以来，2015年我校又获批</w:t>
      </w:r>
      <w:r>
        <w:rPr>
          <w:rFonts w:ascii="仿宋_GB2312" w:eastAsia="仿宋_GB2312" w:hAnsi="宋体"/>
          <w:sz w:val="32"/>
          <w:szCs w:val="32"/>
        </w:rPr>
        <w:t>1</w:t>
      </w:r>
      <w:r>
        <w:rPr>
          <w:rFonts w:ascii="仿宋_GB2312" w:eastAsia="仿宋_GB2312" w:hAnsi="宋体" w:hint="eastAsia"/>
          <w:sz w:val="32"/>
          <w:szCs w:val="32"/>
        </w:rPr>
        <w:t>门国家精品视频公开课--汽车发动机电控系统原理及检修。</w:t>
      </w:r>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t>3、加强课程建设规划。制定课程建设方案，修订课程教学大纲，更新教学内容，力求反映最新学科知识，注重理论结合实际，提高学生动手能力。在课程体系与课程内容建设中注重学科知识的综合性与实用性，避免内容重复，调整、合并、重组了一些课程，增设了部分新课程和综合性、设计性强的实验。</w:t>
      </w:r>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t>4、落实教材供应，保障教学需要。</w:t>
      </w:r>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t>严格按照教材选用制度落实教材定购任务，落实教材供应，保障教学需要。</w:t>
      </w:r>
      <w:r>
        <w:rPr>
          <w:rFonts w:ascii="仿宋_GB2312" w:eastAsia="仿宋_GB2312"/>
          <w:sz w:val="32"/>
          <w:szCs w:val="32"/>
        </w:rPr>
        <w:t>201</w:t>
      </w:r>
      <w:r>
        <w:rPr>
          <w:rFonts w:ascii="仿宋_GB2312" w:eastAsia="仿宋_GB2312" w:hint="eastAsia"/>
          <w:sz w:val="32"/>
          <w:szCs w:val="32"/>
        </w:rPr>
        <w:t>5</w:t>
      </w:r>
      <w:r>
        <w:rPr>
          <w:rFonts w:ascii="仿宋_GB2312" w:eastAsia="仿宋_GB2312"/>
          <w:sz w:val="32"/>
          <w:szCs w:val="32"/>
        </w:rPr>
        <w:t>年</w:t>
      </w:r>
      <w:r>
        <w:rPr>
          <w:rFonts w:ascii="仿宋_GB2312" w:eastAsia="仿宋_GB2312" w:hint="eastAsia"/>
          <w:sz w:val="32"/>
          <w:szCs w:val="32"/>
        </w:rPr>
        <w:t>春</w:t>
      </w:r>
      <w:r>
        <w:rPr>
          <w:rFonts w:ascii="仿宋_GB2312" w:eastAsia="仿宋_GB2312"/>
          <w:sz w:val="32"/>
          <w:szCs w:val="32"/>
        </w:rPr>
        <w:t>、秋两季共组织发放教材13</w:t>
      </w:r>
      <w:r>
        <w:rPr>
          <w:rFonts w:ascii="仿宋_GB2312" w:eastAsia="仿宋_GB2312" w:hint="eastAsia"/>
          <w:sz w:val="32"/>
          <w:szCs w:val="32"/>
        </w:rPr>
        <w:t>61</w:t>
      </w:r>
      <w:r>
        <w:rPr>
          <w:rFonts w:ascii="仿宋_GB2312" w:eastAsia="仿宋_GB2312"/>
          <w:sz w:val="32"/>
          <w:szCs w:val="32"/>
        </w:rPr>
        <w:t>种，计</w:t>
      </w:r>
      <w:r>
        <w:rPr>
          <w:rFonts w:ascii="仿宋_GB2312" w:eastAsia="仿宋_GB2312" w:hint="eastAsia"/>
          <w:sz w:val="32"/>
          <w:szCs w:val="32"/>
        </w:rPr>
        <w:t>264456</w:t>
      </w:r>
      <w:r>
        <w:rPr>
          <w:rFonts w:ascii="仿宋_GB2312" w:eastAsia="仿宋_GB2312"/>
          <w:sz w:val="32"/>
          <w:szCs w:val="32"/>
        </w:rPr>
        <w:t>册，教材在开学前到位率达9</w:t>
      </w:r>
      <w:r>
        <w:rPr>
          <w:rFonts w:ascii="仿宋_GB2312" w:eastAsia="仿宋_GB2312" w:hint="eastAsia"/>
          <w:sz w:val="32"/>
          <w:szCs w:val="32"/>
        </w:rPr>
        <w:t>8.7</w:t>
      </w:r>
      <w:r>
        <w:rPr>
          <w:rFonts w:ascii="仿宋_GB2312" w:eastAsia="仿宋_GB2312"/>
          <w:sz w:val="32"/>
          <w:szCs w:val="32"/>
        </w:rPr>
        <w:t>%。教材建设方面：201</w:t>
      </w:r>
      <w:r>
        <w:rPr>
          <w:rFonts w:ascii="仿宋_GB2312" w:eastAsia="仿宋_GB2312" w:hint="eastAsia"/>
          <w:sz w:val="32"/>
          <w:szCs w:val="32"/>
        </w:rPr>
        <w:t>5</w:t>
      </w:r>
      <w:r>
        <w:rPr>
          <w:rFonts w:ascii="仿宋_GB2312" w:eastAsia="仿宋_GB2312"/>
          <w:sz w:val="32"/>
          <w:szCs w:val="32"/>
        </w:rPr>
        <w:t>年，</w:t>
      </w:r>
      <w:r>
        <w:rPr>
          <w:rFonts w:ascii="仿宋_GB2312" w:eastAsia="仿宋_GB2312" w:hint="eastAsia"/>
          <w:sz w:val="32"/>
          <w:szCs w:val="32"/>
        </w:rPr>
        <w:t>组织并推荐</w:t>
      </w:r>
      <w:r>
        <w:rPr>
          <w:rFonts w:ascii="仿宋_GB2312" w:eastAsia="仿宋_GB2312"/>
          <w:sz w:val="32"/>
          <w:szCs w:val="32"/>
        </w:rPr>
        <w:t>出版</w:t>
      </w:r>
      <w:r>
        <w:rPr>
          <w:rFonts w:ascii="仿宋_GB2312" w:eastAsia="仿宋_GB2312" w:hint="eastAsia"/>
          <w:sz w:val="32"/>
          <w:szCs w:val="32"/>
        </w:rPr>
        <w:t>11</w:t>
      </w:r>
      <w:r>
        <w:rPr>
          <w:rFonts w:ascii="仿宋_GB2312" w:eastAsia="仿宋_GB2312"/>
          <w:sz w:val="32"/>
          <w:szCs w:val="32"/>
        </w:rPr>
        <w:t>部</w:t>
      </w:r>
      <w:r>
        <w:rPr>
          <w:rFonts w:ascii="仿宋_GB2312" w:eastAsia="仿宋_GB2312" w:hint="eastAsia"/>
          <w:sz w:val="32"/>
          <w:szCs w:val="32"/>
        </w:rPr>
        <w:t>我校十二五规划教材</w:t>
      </w:r>
      <w:r>
        <w:rPr>
          <w:rFonts w:ascii="仿宋_GB2312" w:eastAsia="仿宋_GB2312"/>
          <w:sz w:val="32"/>
          <w:szCs w:val="32"/>
        </w:rPr>
        <w:t>；</w:t>
      </w:r>
      <w:r>
        <w:rPr>
          <w:rFonts w:ascii="仿宋_GB2312" w:eastAsia="仿宋_GB2312" w:hint="eastAsia"/>
          <w:sz w:val="32"/>
          <w:szCs w:val="32"/>
        </w:rPr>
        <w:t>组织立项2部自治区高等院校民文与地方特色立项计划教材。</w:t>
      </w:r>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t>5、拉开翻转课堂序幕，掀起教学改革潮流</w:t>
      </w:r>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lastRenderedPageBreak/>
        <w:t>通过顶层设计，从理念到实践，逐步推进学校教学模式改革。拟定翻转课堂计划、广泛汇报翻转课堂教学理念，组织翻转课堂学习兴趣小组，并在校内组织开展了</w:t>
      </w:r>
      <w:r>
        <w:rPr>
          <w:rFonts w:ascii="仿宋_GB2312" w:eastAsia="仿宋_GB2312"/>
          <w:sz w:val="32"/>
          <w:szCs w:val="32"/>
        </w:rPr>
        <w:t>基于学校课程中心的</w:t>
      </w:r>
      <w:r>
        <w:rPr>
          <w:rFonts w:ascii="仿宋_GB2312" w:eastAsia="仿宋_GB2312" w:hint="eastAsia"/>
          <w:sz w:val="32"/>
          <w:szCs w:val="32"/>
        </w:rPr>
        <w:t>“</w:t>
      </w:r>
      <w:r>
        <w:rPr>
          <w:rFonts w:ascii="仿宋_GB2312" w:eastAsia="仿宋_GB2312"/>
          <w:sz w:val="32"/>
          <w:szCs w:val="32"/>
        </w:rPr>
        <w:t>翻转课堂</w:t>
      </w:r>
      <w:r>
        <w:rPr>
          <w:rFonts w:ascii="仿宋_GB2312" w:eastAsia="仿宋_GB2312" w:hint="eastAsia"/>
          <w:sz w:val="32"/>
          <w:szCs w:val="32"/>
        </w:rPr>
        <w:t>”</w:t>
      </w:r>
      <w:r>
        <w:rPr>
          <w:rFonts w:ascii="仿宋_GB2312" w:eastAsia="仿宋_GB2312"/>
          <w:sz w:val="32"/>
          <w:szCs w:val="32"/>
        </w:rPr>
        <w:t>教学网站建设</w:t>
      </w:r>
      <w:r>
        <w:rPr>
          <w:rFonts w:ascii="仿宋_GB2312" w:eastAsia="仿宋_GB2312" w:hint="eastAsia"/>
          <w:sz w:val="32"/>
          <w:szCs w:val="32"/>
        </w:rPr>
        <w:t>及三次“</w:t>
      </w:r>
      <w:r>
        <w:rPr>
          <w:rFonts w:ascii="仿宋_GB2312" w:eastAsia="仿宋_GB2312"/>
          <w:sz w:val="32"/>
          <w:szCs w:val="32"/>
        </w:rPr>
        <w:t>翻转课堂教学法</w:t>
      </w:r>
      <w:r>
        <w:rPr>
          <w:rFonts w:ascii="仿宋_GB2312" w:eastAsia="仿宋_GB2312" w:hint="eastAsia"/>
          <w:sz w:val="32"/>
          <w:szCs w:val="32"/>
        </w:rPr>
        <w:t>”</w:t>
      </w:r>
      <w:r>
        <w:rPr>
          <w:rFonts w:ascii="仿宋_GB2312" w:eastAsia="仿宋_GB2312"/>
          <w:sz w:val="32"/>
          <w:szCs w:val="32"/>
        </w:rPr>
        <w:t>专题报告</w:t>
      </w:r>
      <w:r>
        <w:rPr>
          <w:rFonts w:ascii="仿宋_GB2312" w:eastAsia="仿宋_GB2312" w:hint="eastAsia"/>
          <w:sz w:val="32"/>
          <w:szCs w:val="32"/>
        </w:rPr>
        <w:t>，组织参加“微课”比赛，组织骨干教师参加“全国高校</w:t>
      </w:r>
      <w:r>
        <w:rPr>
          <w:rFonts w:ascii="仿宋_GB2312" w:eastAsia="仿宋_GB2312"/>
          <w:sz w:val="32"/>
          <w:szCs w:val="32"/>
        </w:rPr>
        <w:t>MOOC课程开发及微课设计研修班</w:t>
      </w:r>
      <w:r>
        <w:rPr>
          <w:rFonts w:ascii="仿宋_GB2312" w:eastAsia="仿宋_GB2312" w:hint="eastAsia"/>
          <w:sz w:val="32"/>
          <w:szCs w:val="32"/>
        </w:rPr>
        <w:t>”、到杭州参加“</w:t>
      </w:r>
      <w:r>
        <w:rPr>
          <w:rFonts w:ascii="仿宋_GB2312" w:eastAsia="仿宋_GB2312"/>
          <w:sz w:val="32"/>
          <w:szCs w:val="32"/>
        </w:rPr>
        <w:t>全国高校慕课与通识教育课程建设</w:t>
      </w:r>
      <w:r>
        <w:rPr>
          <w:rFonts w:ascii="仿宋_GB2312" w:eastAsia="仿宋_GB2312" w:hint="eastAsia"/>
          <w:sz w:val="32"/>
          <w:szCs w:val="32"/>
        </w:rPr>
        <w:t>”、到西安参加</w:t>
      </w:r>
      <w:r>
        <w:rPr>
          <w:rFonts w:ascii="仿宋_GB2312" w:eastAsia="仿宋_GB2312"/>
          <w:sz w:val="32"/>
          <w:szCs w:val="32"/>
        </w:rPr>
        <w:t>西北</w:t>
      </w:r>
      <w:r>
        <w:rPr>
          <w:rFonts w:ascii="仿宋_GB2312" w:eastAsia="仿宋_GB2312" w:hint="eastAsia"/>
          <w:sz w:val="32"/>
          <w:szCs w:val="32"/>
        </w:rPr>
        <w:t>教师发展</w:t>
      </w:r>
      <w:r>
        <w:rPr>
          <w:rFonts w:ascii="仿宋_GB2312" w:eastAsia="仿宋_GB2312"/>
          <w:sz w:val="32"/>
          <w:szCs w:val="32"/>
        </w:rPr>
        <w:t>联盟</w:t>
      </w:r>
      <w:r>
        <w:rPr>
          <w:rFonts w:ascii="仿宋_GB2312" w:eastAsia="仿宋_GB2312" w:hint="eastAsia"/>
          <w:sz w:val="32"/>
          <w:szCs w:val="32"/>
        </w:rPr>
        <w:t>“</w:t>
      </w:r>
      <w:r>
        <w:rPr>
          <w:rFonts w:ascii="仿宋_GB2312" w:eastAsia="仿宋_GB2312"/>
          <w:sz w:val="32"/>
          <w:szCs w:val="32"/>
        </w:rPr>
        <w:t>微课与信息化教学研修班</w:t>
      </w:r>
      <w:r>
        <w:rPr>
          <w:rFonts w:ascii="仿宋_GB2312" w:eastAsia="仿宋_GB2312" w:hint="eastAsia"/>
          <w:sz w:val="32"/>
          <w:szCs w:val="32"/>
        </w:rPr>
        <w:t>”、到厦门接受“微课程开发与翻转课堂创新应用培训师训练”，通过一系列培训改变教师教学理念。同时</w:t>
      </w:r>
      <w:r>
        <w:rPr>
          <w:rFonts w:ascii="仿宋_GB2312" w:eastAsia="仿宋_GB2312"/>
          <w:sz w:val="32"/>
          <w:szCs w:val="32"/>
        </w:rPr>
        <w:t>与上海交通大学建立合作关系，借用上海交大</w:t>
      </w:r>
      <w:r>
        <w:rPr>
          <w:rFonts w:ascii="仿宋_GB2312" w:eastAsia="仿宋_GB2312" w:hint="eastAsia"/>
          <w:sz w:val="32"/>
          <w:szCs w:val="32"/>
        </w:rPr>
        <w:t>“</w:t>
      </w:r>
      <w:r>
        <w:rPr>
          <w:rFonts w:ascii="仿宋_GB2312" w:eastAsia="仿宋_GB2312"/>
          <w:sz w:val="32"/>
          <w:szCs w:val="32"/>
        </w:rPr>
        <w:t>好大学在线</w:t>
      </w:r>
      <w:r>
        <w:rPr>
          <w:rFonts w:ascii="仿宋_GB2312" w:eastAsia="仿宋_GB2312" w:hint="eastAsia"/>
          <w:sz w:val="32"/>
          <w:szCs w:val="32"/>
        </w:rPr>
        <w:t>”</w:t>
      </w:r>
      <w:r>
        <w:rPr>
          <w:rFonts w:ascii="仿宋_GB2312" w:eastAsia="仿宋_GB2312"/>
          <w:sz w:val="32"/>
          <w:szCs w:val="32"/>
        </w:rPr>
        <w:t>平台开展翻转课堂实践</w:t>
      </w:r>
      <w:r>
        <w:rPr>
          <w:rFonts w:ascii="仿宋_GB2312" w:eastAsia="仿宋_GB2312" w:hint="eastAsia"/>
          <w:sz w:val="32"/>
          <w:szCs w:val="32"/>
        </w:rPr>
        <w:t>，并设立二十四项</w:t>
      </w:r>
      <w:r>
        <w:rPr>
          <w:rFonts w:ascii="仿宋_GB2312" w:eastAsia="仿宋_GB2312"/>
          <w:sz w:val="32"/>
          <w:szCs w:val="32"/>
        </w:rPr>
        <w:t>翻转课堂专项项目</w:t>
      </w:r>
      <w:r>
        <w:rPr>
          <w:rFonts w:ascii="仿宋_GB2312" w:eastAsia="仿宋_GB2312" w:hint="eastAsia"/>
          <w:sz w:val="32"/>
          <w:szCs w:val="32"/>
        </w:rPr>
        <w:t>引领教师开展翻转课堂教学改革实践。</w:t>
      </w:r>
    </w:p>
    <w:p w:rsidR="00C47CD0" w:rsidRDefault="00081AE9">
      <w:pPr>
        <w:autoSpaceDE w:val="0"/>
        <w:autoSpaceDN w:val="0"/>
        <w:ind w:firstLineChars="200" w:firstLine="643"/>
        <w:jc w:val="left"/>
        <w:outlineLvl w:val="1"/>
        <w:rPr>
          <w:rFonts w:ascii="仿宋_GB2312" w:eastAsia="仿宋_GB2312"/>
          <w:b/>
          <w:sz w:val="32"/>
          <w:szCs w:val="32"/>
        </w:rPr>
      </w:pPr>
      <w:bookmarkStart w:id="90" w:name="_Toc435713886"/>
      <w:bookmarkStart w:id="91" w:name="_Toc435713793"/>
      <w:bookmarkStart w:id="92" w:name="_Toc402443409"/>
      <w:r>
        <w:rPr>
          <w:rFonts w:ascii="仿宋_GB2312" w:eastAsia="仿宋_GB2312" w:hint="eastAsia"/>
          <w:b/>
          <w:sz w:val="32"/>
          <w:szCs w:val="32"/>
        </w:rPr>
        <w:t>（三）推进人才培养模式改革</w:t>
      </w:r>
      <w:bookmarkEnd w:id="90"/>
      <w:bookmarkEnd w:id="91"/>
      <w:bookmarkEnd w:id="92"/>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t>1、适应新常态，奋力推进教育教学综合改革</w:t>
      </w:r>
    </w:p>
    <w:p w:rsidR="00C47CD0" w:rsidRDefault="00081AE9">
      <w:pPr>
        <w:pStyle w:val="HTML"/>
        <w:wordWrap w:val="0"/>
        <w:ind w:firstLineChars="200" w:firstLine="640"/>
        <w:rPr>
          <w:rFonts w:ascii="仿宋_GB2312" w:eastAsia="仿宋_GB2312"/>
          <w:sz w:val="32"/>
          <w:szCs w:val="32"/>
        </w:rPr>
      </w:pPr>
      <w:r>
        <w:rPr>
          <w:rFonts w:ascii="仿宋_GB2312" w:eastAsia="仿宋_GB2312" w:hint="eastAsia"/>
          <w:sz w:val="32"/>
          <w:szCs w:val="32"/>
        </w:rPr>
        <w:t>为推进我校综合改革，强化协同育人，2015年</w:t>
      </w:r>
      <w:r>
        <w:rPr>
          <w:rFonts w:ascii="仿宋_GB2312" w:eastAsia="仿宋_GB2312"/>
          <w:sz w:val="32"/>
          <w:szCs w:val="32"/>
        </w:rPr>
        <w:t>6</w:t>
      </w:r>
      <w:r>
        <w:rPr>
          <w:rFonts w:ascii="仿宋_GB2312" w:eastAsia="仿宋_GB2312" w:hint="eastAsia"/>
          <w:sz w:val="32"/>
          <w:szCs w:val="32"/>
        </w:rPr>
        <w:t>月，学校召开了以“适应新常态，把握新机遇，实现新发展”为主题的第五次教学工作会议。会议总结了学校过去四年本科教学工作，交流了教学改革、建设与管理的先进理念与经验，深刻阐述了当前在新形势下我校教育教学工作面临的机遇和问题，明确的部署了今后四年本科教学工作的指导思想、目标任务和主要措施，以内涵发展为核心，加强学科专业建</w:t>
      </w:r>
      <w:r>
        <w:rPr>
          <w:rFonts w:ascii="仿宋_GB2312" w:eastAsia="仿宋_GB2312" w:hint="eastAsia"/>
          <w:sz w:val="32"/>
          <w:szCs w:val="32"/>
        </w:rPr>
        <w:lastRenderedPageBreak/>
        <w:t>设，推进综合改革，强化协同育人，服务于新疆社会稳定和长治久安，为丝绸之路经济带核心区建设的五大中心建设培养相关专业人才。</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2、以“卓越工程师”和“卓越农林人才”培养计划项目为抓手，积极推进教育部人才培养模式改革项目，培养拔尖型与复合型人才。</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目前，我校有“计算机科学与技术专业（软件工程方向）”、“农业机械化及其自动化专业”</w:t>
      </w:r>
      <w:r>
        <w:rPr>
          <w:rFonts w:ascii="仿宋_GB2312" w:eastAsia="仿宋_GB2312"/>
          <w:sz w:val="32"/>
          <w:szCs w:val="32"/>
        </w:rPr>
        <w:t>2</w:t>
      </w:r>
      <w:r>
        <w:rPr>
          <w:rFonts w:ascii="仿宋_GB2312" w:eastAsia="仿宋_GB2312" w:hint="eastAsia"/>
          <w:sz w:val="32"/>
          <w:szCs w:val="32"/>
        </w:rPr>
        <w:t>个卓越工程师人才培养计划专业。其建设紧紧围绕“能力为先”的理念，深化课程体系改革，强化“知识”“能力”和“品格”三方面的培养，重点落在关于学生能力培养的知识结构建设上，积极探索</w:t>
      </w:r>
      <w:r>
        <w:rPr>
          <w:rFonts w:ascii="仿宋_GB2312" w:eastAsia="仿宋_GB2312"/>
          <w:sz w:val="32"/>
          <w:szCs w:val="32"/>
        </w:rPr>
        <w:t>多元化、个性化</w:t>
      </w:r>
      <w:r>
        <w:rPr>
          <w:rFonts w:ascii="仿宋_GB2312" w:eastAsia="仿宋_GB2312" w:hint="eastAsia"/>
          <w:sz w:val="32"/>
          <w:szCs w:val="32"/>
        </w:rPr>
        <w:t>的实践教学模式，强化“重基础、强实践、能创新”的教育特色，强化工程能力培养模块，突出实践教学环节，强化科技创新，突出人才创新能力的培养；与企业、行业、高水平大学开展“互利双赢”的合作。目前</w:t>
      </w:r>
      <w:r>
        <w:rPr>
          <w:rFonts w:ascii="仿宋_GB2312" w:eastAsia="仿宋_GB2312"/>
          <w:sz w:val="32"/>
          <w:szCs w:val="32"/>
        </w:rPr>
        <w:t>2</w:t>
      </w:r>
      <w:r>
        <w:rPr>
          <w:rFonts w:ascii="仿宋_GB2312" w:eastAsia="仿宋_GB2312" w:hint="eastAsia"/>
          <w:sz w:val="32"/>
          <w:szCs w:val="32"/>
        </w:rPr>
        <w:t>个培养计划的实施情况良好，创新探索效果显著。</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我校有三个专业进入第一批卓越农林人才培养计划项目，其中拔尖创新类项目</w:t>
      </w:r>
      <w:r>
        <w:rPr>
          <w:rFonts w:ascii="仿宋_GB2312" w:eastAsia="仿宋_GB2312"/>
          <w:sz w:val="32"/>
          <w:szCs w:val="32"/>
        </w:rPr>
        <w:t>1</w:t>
      </w:r>
      <w:r>
        <w:rPr>
          <w:rFonts w:ascii="仿宋_GB2312" w:eastAsia="仿宋_GB2312" w:hint="eastAsia"/>
          <w:sz w:val="32"/>
          <w:szCs w:val="32"/>
        </w:rPr>
        <w:t>个，即草业科学专业，复合应用类项目</w:t>
      </w:r>
      <w:r>
        <w:rPr>
          <w:rFonts w:ascii="仿宋_GB2312" w:eastAsia="仿宋_GB2312"/>
          <w:sz w:val="32"/>
          <w:szCs w:val="32"/>
        </w:rPr>
        <w:t>2</w:t>
      </w:r>
      <w:r>
        <w:rPr>
          <w:rFonts w:ascii="仿宋_GB2312" w:eastAsia="仿宋_GB2312" w:hint="eastAsia"/>
          <w:sz w:val="32"/>
          <w:szCs w:val="32"/>
        </w:rPr>
        <w:t>个，即农业水利工程专业和动物科学专业。根据卓越农林人才教育培养计划改革试点的要求，在各专业和教务处的共同努力下，通过重塑人才培养目标，修订人才培养方案，改善实验实习条件，建立校企联合育人平台与机制等工</w:t>
      </w:r>
      <w:r>
        <w:rPr>
          <w:rFonts w:ascii="仿宋_GB2312" w:eastAsia="仿宋_GB2312" w:hint="eastAsia"/>
          <w:sz w:val="32"/>
          <w:szCs w:val="32"/>
        </w:rPr>
        <w:lastRenderedPageBreak/>
        <w:t>作，卓越农林人才项目建设已初见雏形。</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3、设立图志实验班，探索本校自我人才培养新模式</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根据自治区社会发展对我校人才质量的要求和学生个性化发展的需求，学校实施人才分类培养，开建生命科学类图志实验班，定位为拔尖创新人才培养。学校专列20万元培养经费，教务处与农学院协作，负责</w:t>
      </w:r>
      <w:r>
        <w:rPr>
          <w:rFonts w:ascii="仿宋_GB2312" w:eastAsia="仿宋_GB2312"/>
          <w:sz w:val="32"/>
          <w:szCs w:val="32"/>
        </w:rPr>
        <w:t>开班</w:t>
      </w:r>
      <w:r>
        <w:rPr>
          <w:rFonts w:ascii="仿宋_GB2312" w:eastAsia="仿宋_GB2312" w:hint="eastAsia"/>
          <w:sz w:val="32"/>
          <w:szCs w:val="32"/>
        </w:rPr>
        <w:t>的</w:t>
      </w:r>
      <w:r>
        <w:rPr>
          <w:rFonts w:ascii="仿宋_GB2312" w:eastAsia="仿宋_GB2312"/>
          <w:sz w:val="32"/>
          <w:szCs w:val="32"/>
        </w:rPr>
        <w:t>准备工作，制定图志班建设方案</w:t>
      </w:r>
      <w:r>
        <w:rPr>
          <w:rFonts w:ascii="仿宋_GB2312" w:eastAsia="仿宋_GB2312" w:hint="eastAsia"/>
          <w:sz w:val="32"/>
          <w:szCs w:val="32"/>
        </w:rPr>
        <w:t>，制定人才培养计划，选拔学生，建设固定教室，最终建成20人的图志实验班。</w:t>
      </w:r>
      <w:r>
        <w:rPr>
          <w:rFonts w:ascii="仿宋_GB2312" w:eastAsia="仿宋_GB2312"/>
          <w:sz w:val="32"/>
          <w:szCs w:val="32"/>
        </w:rPr>
        <w:t>开班后，</w:t>
      </w:r>
      <w:r>
        <w:rPr>
          <w:rFonts w:ascii="仿宋_GB2312" w:eastAsia="仿宋_GB2312" w:hint="eastAsia"/>
          <w:sz w:val="32"/>
          <w:szCs w:val="32"/>
        </w:rPr>
        <w:t>教务部门</w:t>
      </w:r>
      <w:r>
        <w:rPr>
          <w:rFonts w:ascii="仿宋_GB2312" w:eastAsia="仿宋_GB2312"/>
          <w:sz w:val="32"/>
          <w:szCs w:val="32"/>
        </w:rPr>
        <w:t>经常与农学院沟通</w:t>
      </w:r>
      <w:r>
        <w:rPr>
          <w:rFonts w:ascii="仿宋_GB2312" w:eastAsia="仿宋_GB2312" w:hint="eastAsia"/>
          <w:sz w:val="32"/>
          <w:szCs w:val="32"/>
        </w:rPr>
        <w:t>交流</w:t>
      </w:r>
      <w:r>
        <w:rPr>
          <w:rFonts w:ascii="仿宋_GB2312" w:eastAsia="仿宋_GB2312"/>
          <w:sz w:val="32"/>
          <w:szCs w:val="32"/>
        </w:rPr>
        <w:t>，协调解决班级运行中遇到的问题</w:t>
      </w:r>
      <w:r>
        <w:rPr>
          <w:rFonts w:ascii="仿宋_GB2312" w:eastAsia="仿宋_GB2312" w:hint="eastAsia"/>
          <w:sz w:val="32"/>
          <w:szCs w:val="32"/>
        </w:rPr>
        <w:t>，协力推进班级建设和人才培养。图志班运行良好。</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4、有序开展校校联合培养。本科生内地高校访学学校达到12所，分别为浙江大学、中国农业大学、西北农林科技大学、南京农业大学、河海大学、西南大学、北京林业大学和湖南大学，2015年新增了中国人民大学、江南大学、中国地质大学（武汉）和东北林业大学等共计12所内地高校。访学学生主要是三年级学生，访学时间为一学年，访学规模达到36个专业101人。年内完成第四批访学学生的返校，第五批访学学生的选拔和输送工作，建立起访学管理长效机制，《新疆农业大学优秀本科生内地高校访学管理暂行办法》进一步落实。2015年访学学生分布情况详见表6。</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5、不断推进本科生科学导师制。实施《新疆农业大学本科学术型人才培养导师制实施办法》，各学院从实际出发，</w:t>
      </w:r>
      <w:r>
        <w:rPr>
          <w:rFonts w:ascii="仿宋_GB2312" w:eastAsia="仿宋_GB2312" w:hint="eastAsia"/>
          <w:sz w:val="32"/>
          <w:szCs w:val="32"/>
        </w:rPr>
        <w:lastRenderedPageBreak/>
        <w:t>根据自身具体情况推动科学导师制的实施。</w:t>
      </w:r>
    </w:p>
    <w:p w:rsidR="00C47CD0" w:rsidRDefault="00081AE9">
      <w:pPr>
        <w:jc w:val="center"/>
        <w:rPr>
          <w:rFonts w:ascii="宋体" w:hAnsi="宋体"/>
          <w:sz w:val="28"/>
          <w:szCs w:val="28"/>
        </w:rPr>
      </w:pPr>
      <w:r>
        <w:rPr>
          <w:rFonts w:ascii="宋体" w:hAnsi="宋体" w:hint="eastAsia"/>
          <w:sz w:val="28"/>
          <w:szCs w:val="28"/>
        </w:rPr>
        <w:t xml:space="preserve">表6   </w:t>
      </w:r>
      <w:r>
        <w:rPr>
          <w:rFonts w:ascii="宋体" w:hAnsi="宋体" w:hint="eastAsia"/>
          <w:b/>
          <w:sz w:val="28"/>
          <w:szCs w:val="28"/>
        </w:rPr>
        <w:t>2015年访学学生分布情况表</w:t>
      </w:r>
    </w:p>
    <w:tbl>
      <w:tblPr>
        <w:tblW w:w="8176"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94"/>
        <w:gridCol w:w="1843"/>
        <w:gridCol w:w="4205"/>
        <w:gridCol w:w="1334"/>
      </w:tblGrid>
      <w:tr w:rsidR="00C47CD0">
        <w:trPr>
          <w:jc w:val="center"/>
        </w:trPr>
        <w:tc>
          <w:tcPr>
            <w:tcW w:w="794" w:type="dxa"/>
            <w:vAlign w:val="center"/>
          </w:tcPr>
          <w:p w:rsidR="00C47CD0" w:rsidRDefault="00081AE9">
            <w:pPr>
              <w:jc w:val="center"/>
              <w:rPr>
                <w:rFonts w:ascii="仿宋_GB2312" w:eastAsia="仿宋_GB2312"/>
                <w:b/>
                <w:sz w:val="24"/>
              </w:rPr>
            </w:pPr>
            <w:r>
              <w:rPr>
                <w:rFonts w:ascii="仿宋_GB2312" w:eastAsia="仿宋_GB2312" w:hint="eastAsia"/>
                <w:b/>
                <w:sz w:val="24"/>
              </w:rPr>
              <w:t>序号</w:t>
            </w:r>
          </w:p>
        </w:tc>
        <w:tc>
          <w:tcPr>
            <w:tcW w:w="1843" w:type="dxa"/>
            <w:vAlign w:val="center"/>
          </w:tcPr>
          <w:p w:rsidR="00C47CD0" w:rsidRDefault="00081AE9">
            <w:pPr>
              <w:jc w:val="center"/>
              <w:rPr>
                <w:rFonts w:ascii="仿宋_GB2312" w:eastAsia="仿宋_GB2312"/>
                <w:b/>
                <w:sz w:val="24"/>
              </w:rPr>
            </w:pPr>
            <w:r>
              <w:rPr>
                <w:rFonts w:ascii="仿宋_GB2312" w:eastAsia="仿宋_GB2312" w:hint="eastAsia"/>
                <w:b/>
                <w:sz w:val="24"/>
              </w:rPr>
              <w:t>访学高校</w:t>
            </w:r>
          </w:p>
        </w:tc>
        <w:tc>
          <w:tcPr>
            <w:tcW w:w="4205" w:type="dxa"/>
            <w:vAlign w:val="center"/>
          </w:tcPr>
          <w:p w:rsidR="00C47CD0" w:rsidRDefault="00081AE9">
            <w:pPr>
              <w:jc w:val="center"/>
              <w:rPr>
                <w:rFonts w:ascii="仿宋_GB2312" w:eastAsia="仿宋_GB2312"/>
                <w:b/>
                <w:sz w:val="24"/>
              </w:rPr>
            </w:pPr>
            <w:r>
              <w:rPr>
                <w:rFonts w:ascii="仿宋_GB2312" w:eastAsia="仿宋_GB2312" w:hint="eastAsia"/>
                <w:b/>
                <w:sz w:val="24"/>
              </w:rPr>
              <w:t>访学专业</w:t>
            </w:r>
          </w:p>
        </w:tc>
        <w:tc>
          <w:tcPr>
            <w:tcW w:w="1334" w:type="dxa"/>
            <w:vAlign w:val="center"/>
          </w:tcPr>
          <w:p w:rsidR="00C47CD0" w:rsidRDefault="00081AE9">
            <w:pPr>
              <w:jc w:val="center"/>
              <w:rPr>
                <w:rFonts w:ascii="仿宋_GB2312" w:eastAsia="仿宋_GB2312"/>
                <w:b/>
                <w:sz w:val="24"/>
              </w:rPr>
            </w:pPr>
            <w:r>
              <w:rPr>
                <w:rFonts w:ascii="仿宋_GB2312" w:eastAsia="仿宋_GB2312" w:hint="eastAsia"/>
                <w:b/>
                <w:sz w:val="24"/>
              </w:rPr>
              <w:t>访学人数</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1</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浙江大学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机械设计制造及其自动化、英语、土地资源管理、会计</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10</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2</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中国农业大学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农业机械化及其自动化、数学与应用数学、园艺、英语、动物医学</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10</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3</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南京农业大学</w:t>
            </w:r>
          </w:p>
        </w:tc>
        <w:tc>
          <w:tcPr>
            <w:tcW w:w="4205" w:type="dxa"/>
            <w:vAlign w:val="center"/>
          </w:tcPr>
          <w:p w:rsidR="00C47CD0" w:rsidRDefault="00081AE9">
            <w:pPr>
              <w:pStyle w:val="a4"/>
              <w:rPr>
                <w:rFonts w:ascii="仿宋_GB2312" w:eastAsia="仿宋_GB2312"/>
                <w:sz w:val="24"/>
              </w:rPr>
            </w:pPr>
            <w:r>
              <w:rPr>
                <w:rFonts w:ascii="仿宋_GB2312" w:eastAsia="仿宋_GB2312" w:hint="eastAsia"/>
                <w:sz w:val="24"/>
              </w:rPr>
              <w:t>电气工程及其自动化、动物科学、动物医学、会计学、机械设计制造及其自动化、农学、农业机械化及其自动化、人文地理与城乡规划、国际经济与贸易</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17</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4</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西北农林科技大学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草业科学、农业资源与环境、动物科学、食品科学与工程、种子科学与工程、环境科学</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12</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5</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北京林业大学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林学、生物技术、水土保持与荒漠化防治、园林、森林保护</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10</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6</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河海大学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农业水利工程、水利水电工程、土木工程、信息管理与信息系统、市场营销</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9</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7</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西南大学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旅游管理、人力资源管理、食品质量与安全、土地资源管理、植物保护</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10</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8</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湖南大学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应用化学</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2</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9</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中国地质大学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英语、土木工程、地理信息系统</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6</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10</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江南大学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物联网、化学工程与工艺、应用化学、食品质量与安全</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6</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11</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中国人民大学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行政管理</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2</w:t>
            </w:r>
          </w:p>
        </w:tc>
      </w:tr>
      <w:tr w:rsidR="00C47CD0">
        <w:trPr>
          <w:jc w:val="center"/>
        </w:trPr>
        <w:tc>
          <w:tcPr>
            <w:tcW w:w="794" w:type="dxa"/>
            <w:vAlign w:val="center"/>
          </w:tcPr>
          <w:p w:rsidR="00C47CD0" w:rsidRDefault="00081AE9">
            <w:pPr>
              <w:jc w:val="center"/>
              <w:rPr>
                <w:rFonts w:ascii="仿宋_GB2312" w:eastAsia="仿宋_GB2312"/>
                <w:sz w:val="24"/>
              </w:rPr>
            </w:pPr>
            <w:r>
              <w:rPr>
                <w:rFonts w:ascii="仿宋_GB2312" w:eastAsia="仿宋_GB2312" w:hint="eastAsia"/>
                <w:sz w:val="24"/>
              </w:rPr>
              <w:t>12</w:t>
            </w:r>
          </w:p>
        </w:tc>
        <w:tc>
          <w:tcPr>
            <w:tcW w:w="1843" w:type="dxa"/>
            <w:vAlign w:val="center"/>
          </w:tcPr>
          <w:p w:rsidR="00C47CD0" w:rsidRDefault="00081AE9">
            <w:pPr>
              <w:jc w:val="center"/>
              <w:rPr>
                <w:rFonts w:ascii="仿宋_GB2312" w:eastAsia="仿宋_GB2312"/>
                <w:sz w:val="24"/>
              </w:rPr>
            </w:pPr>
            <w:r>
              <w:rPr>
                <w:rFonts w:ascii="仿宋_GB2312" w:eastAsia="仿宋_GB2312" w:hint="eastAsia"/>
                <w:sz w:val="24"/>
              </w:rPr>
              <w:t>东北林业大学</w:t>
            </w:r>
          </w:p>
        </w:tc>
        <w:tc>
          <w:tcPr>
            <w:tcW w:w="4205" w:type="dxa"/>
            <w:vAlign w:val="center"/>
          </w:tcPr>
          <w:p w:rsidR="00C47CD0" w:rsidRDefault="00081AE9">
            <w:pPr>
              <w:jc w:val="left"/>
              <w:rPr>
                <w:rFonts w:ascii="仿宋_GB2312" w:eastAsia="仿宋_GB2312"/>
                <w:sz w:val="24"/>
              </w:rPr>
            </w:pPr>
            <w:r>
              <w:rPr>
                <w:rFonts w:ascii="仿宋_GB2312" w:eastAsia="仿宋_GB2312" w:hint="eastAsia"/>
                <w:sz w:val="24"/>
              </w:rPr>
              <w:t>园林、林学、交通工程</w:t>
            </w:r>
          </w:p>
        </w:tc>
        <w:tc>
          <w:tcPr>
            <w:tcW w:w="1334" w:type="dxa"/>
            <w:vAlign w:val="center"/>
          </w:tcPr>
          <w:p w:rsidR="00C47CD0" w:rsidRDefault="00081AE9">
            <w:pPr>
              <w:jc w:val="center"/>
              <w:rPr>
                <w:rFonts w:ascii="仿宋_GB2312" w:eastAsia="仿宋_GB2312"/>
                <w:sz w:val="24"/>
              </w:rPr>
            </w:pPr>
            <w:r>
              <w:rPr>
                <w:rFonts w:ascii="仿宋_GB2312" w:eastAsia="仿宋_GB2312" w:hint="eastAsia"/>
                <w:sz w:val="24"/>
              </w:rPr>
              <w:t>7</w:t>
            </w:r>
          </w:p>
        </w:tc>
      </w:tr>
    </w:tbl>
    <w:p w:rsidR="00C47CD0" w:rsidRDefault="00C47CD0">
      <w:pPr>
        <w:rPr>
          <w:rFonts w:ascii="仿宋_GB2312" w:eastAsia="仿宋_GB2312"/>
          <w:sz w:val="24"/>
        </w:rPr>
      </w:pP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6、优化管理大学生创新项目。进一步优化大学生创新项目立项审批，强化立项答辩制度，保障优秀项目在立项评审中获得专家老师的深入指导。</w:t>
      </w:r>
      <w:r>
        <w:rPr>
          <w:rFonts w:ascii="仿宋_GB2312" w:eastAsia="仿宋_GB2312"/>
          <w:sz w:val="32"/>
          <w:szCs w:val="32"/>
        </w:rPr>
        <w:t>2015</w:t>
      </w:r>
      <w:r>
        <w:rPr>
          <w:rFonts w:ascii="仿宋_GB2312" w:eastAsia="仿宋_GB2312" w:hint="eastAsia"/>
          <w:sz w:val="32"/>
          <w:szCs w:val="32"/>
        </w:rPr>
        <w:t>年我校共立项国家级大学生创新创业训练计划项目</w:t>
      </w:r>
      <w:r>
        <w:rPr>
          <w:rFonts w:ascii="仿宋_GB2312" w:eastAsia="仿宋_GB2312"/>
          <w:sz w:val="32"/>
          <w:szCs w:val="32"/>
        </w:rPr>
        <w:t>44</w:t>
      </w:r>
      <w:r>
        <w:rPr>
          <w:rFonts w:ascii="仿宋_GB2312" w:eastAsia="仿宋_GB2312" w:hint="eastAsia"/>
          <w:sz w:val="32"/>
          <w:szCs w:val="32"/>
        </w:rPr>
        <w:t>项，其中创新训练项目</w:t>
      </w:r>
      <w:r>
        <w:rPr>
          <w:rFonts w:ascii="仿宋_GB2312" w:eastAsia="仿宋_GB2312"/>
          <w:sz w:val="32"/>
          <w:szCs w:val="32"/>
        </w:rPr>
        <w:t>36</w:t>
      </w:r>
      <w:r>
        <w:rPr>
          <w:rFonts w:ascii="仿宋_GB2312" w:eastAsia="仿宋_GB2312" w:hint="eastAsia"/>
          <w:sz w:val="32"/>
          <w:szCs w:val="32"/>
        </w:rPr>
        <w:t>项，创业训练和创业实践项目</w:t>
      </w:r>
      <w:r>
        <w:rPr>
          <w:rFonts w:ascii="仿宋_GB2312" w:eastAsia="仿宋_GB2312"/>
          <w:sz w:val="32"/>
          <w:szCs w:val="32"/>
        </w:rPr>
        <w:t>8</w:t>
      </w:r>
      <w:r>
        <w:rPr>
          <w:rFonts w:ascii="仿宋_GB2312" w:eastAsia="仿宋_GB2312" w:hint="eastAsia"/>
          <w:sz w:val="32"/>
          <w:szCs w:val="32"/>
        </w:rPr>
        <w:t>项，参加项目人数</w:t>
      </w:r>
      <w:r>
        <w:rPr>
          <w:rFonts w:ascii="仿宋_GB2312" w:eastAsia="仿宋_GB2312"/>
          <w:sz w:val="32"/>
          <w:szCs w:val="32"/>
        </w:rPr>
        <w:t>173</w:t>
      </w:r>
      <w:r>
        <w:rPr>
          <w:rFonts w:ascii="仿宋_GB2312" w:eastAsia="仿宋_GB2312" w:hint="eastAsia"/>
          <w:sz w:val="32"/>
          <w:szCs w:val="32"/>
        </w:rPr>
        <w:t>人次；立项自治区级大学生创新创业训练计划项目</w:t>
      </w:r>
      <w:r>
        <w:rPr>
          <w:rFonts w:ascii="仿宋_GB2312" w:eastAsia="仿宋_GB2312"/>
          <w:sz w:val="32"/>
          <w:szCs w:val="32"/>
        </w:rPr>
        <w:t>89</w:t>
      </w:r>
      <w:r>
        <w:rPr>
          <w:rFonts w:ascii="仿宋_GB2312" w:eastAsia="仿宋_GB2312" w:hint="eastAsia"/>
          <w:sz w:val="32"/>
          <w:szCs w:val="32"/>
        </w:rPr>
        <w:t>项，其中创新训练项目</w:t>
      </w:r>
      <w:r>
        <w:rPr>
          <w:rFonts w:ascii="仿宋_GB2312" w:eastAsia="仿宋_GB2312"/>
          <w:sz w:val="32"/>
          <w:szCs w:val="32"/>
        </w:rPr>
        <w:t>82</w:t>
      </w:r>
      <w:r>
        <w:rPr>
          <w:rFonts w:ascii="仿宋_GB2312" w:eastAsia="仿宋_GB2312" w:hint="eastAsia"/>
          <w:sz w:val="32"/>
          <w:szCs w:val="32"/>
        </w:rPr>
        <w:t>项，创业训练和创业实践项目</w:t>
      </w:r>
      <w:r>
        <w:rPr>
          <w:rFonts w:ascii="仿宋_GB2312" w:eastAsia="仿宋_GB2312"/>
          <w:sz w:val="32"/>
          <w:szCs w:val="32"/>
        </w:rPr>
        <w:t>7</w:t>
      </w:r>
      <w:r>
        <w:rPr>
          <w:rFonts w:ascii="仿宋_GB2312" w:eastAsia="仿宋_GB2312" w:hint="eastAsia"/>
          <w:sz w:val="32"/>
          <w:szCs w:val="32"/>
        </w:rPr>
        <w:t>项，参加项目</w:t>
      </w:r>
      <w:r>
        <w:rPr>
          <w:rFonts w:ascii="仿宋_GB2312" w:eastAsia="仿宋_GB2312" w:hint="eastAsia"/>
          <w:sz w:val="32"/>
          <w:szCs w:val="32"/>
        </w:rPr>
        <w:lastRenderedPageBreak/>
        <w:t>人数</w:t>
      </w:r>
      <w:r>
        <w:rPr>
          <w:rFonts w:ascii="仿宋_GB2312" w:eastAsia="仿宋_GB2312"/>
          <w:sz w:val="32"/>
          <w:szCs w:val="32"/>
        </w:rPr>
        <w:t>329</w:t>
      </w:r>
      <w:r>
        <w:rPr>
          <w:rFonts w:ascii="仿宋_GB2312" w:eastAsia="仿宋_GB2312" w:hint="eastAsia"/>
          <w:sz w:val="32"/>
          <w:szCs w:val="32"/>
        </w:rPr>
        <w:t>人次（见表7）。校级大学生创新项目264，校级创业训练计划项目42项。我校三个级别大学生创新创业训练计划项目参加人数共计</w:t>
      </w:r>
      <w:r>
        <w:rPr>
          <w:rFonts w:ascii="仿宋_GB2312" w:eastAsia="仿宋_GB2312"/>
          <w:sz w:val="32"/>
          <w:szCs w:val="32"/>
        </w:rPr>
        <w:t>1112</w:t>
      </w:r>
      <w:r>
        <w:rPr>
          <w:rFonts w:ascii="仿宋_GB2312" w:eastAsia="仿宋_GB2312" w:hint="eastAsia"/>
          <w:sz w:val="32"/>
          <w:szCs w:val="32"/>
        </w:rPr>
        <w:t>人次，参加大学生创新创业训练计划项目的学生人数占我校在校学生人数的</w:t>
      </w:r>
      <w:r>
        <w:rPr>
          <w:rFonts w:ascii="仿宋_GB2312" w:eastAsia="仿宋_GB2312"/>
          <w:sz w:val="32"/>
          <w:szCs w:val="32"/>
        </w:rPr>
        <w:t>7.4%</w:t>
      </w:r>
      <w:r>
        <w:rPr>
          <w:rFonts w:ascii="仿宋_GB2312" w:eastAsia="仿宋_GB2312" w:hint="eastAsia"/>
          <w:sz w:val="32"/>
          <w:szCs w:val="32"/>
        </w:rPr>
        <w:t>，创我校历史新高。</w:t>
      </w:r>
    </w:p>
    <w:p w:rsidR="00C47CD0" w:rsidRDefault="00081AE9">
      <w:pPr>
        <w:adjustRightInd w:val="0"/>
        <w:ind w:firstLineChars="200" w:firstLine="640"/>
        <w:rPr>
          <w:rFonts w:ascii="仿宋_GB2312" w:eastAsia="仿宋_GB2312"/>
          <w:sz w:val="32"/>
          <w:szCs w:val="32"/>
        </w:rPr>
      </w:pPr>
      <w:bookmarkStart w:id="93" w:name="_Toc402374113"/>
      <w:bookmarkStart w:id="94" w:name="_Toc402443164"/>
      <w:bookmarkStart w:id="95" w:name="_Toc435713794"/>
      <w:bookmarkStart w:id="96" w:name="_Toc402443410"/>
      <w:bookmarkStart w:id="97" w:name="_Toc435713887"/>
      <w:r>
        <w:rPr>
          <w:rFonts w:ascii="仿宋_GB2312" w:eastAsia="仿宋_GB2312"/>
          <w:sz w:val="32"/>
          <w:szCs w:val="32"/>
        </w:rPr>
        <w:t>2015</w:t>
      </w:r>
      <w:r>
        <w:rPr>
          <w:rFonts w:ascii="仿宋_GB2312" w:eastAsia="仿宋_GB2312" w:hint="eastAsia"/>
          <w:sz w:val="32"/>
          <w:szCs w:val="32"/>
        </w:rPr>
        <w:t>年验收校级大学生创新创业训练计划项目</w:t>
      </w:r>
      <w:r>
        <w:rPr>
          <w:rFonts w:ascii="仿宋_GB2312" w:eastAsia="仿宋_GB2312"/>
          <w:sz w:val="32"/>
          <w:szCs w:val="32"/>
        </w:rPr>
        <w:t>202</w:t>
      </w:r>
      <w:r>
        <w:rPr>
          <w:rFonts w:ascii="仿宋_GB2312" w:eastAsia="仿宋_GB2312" w:hint="eastAsia"/>
          <w:sz w:val="32"/>
          <w:szCs w:val="32"/>
        </w:rPr>
        <w:t>项，结题</w:t>
      </w:r>
      <w:r>
        <w:rPr>
          <w:rFonts w:ascii="仿宋_GB2312" w:eastAsia="仿宋_GB2312"/>
          <w:sz w:val="32"/>
          <w:szCs w:val="32"/>
        </w:rPr>
        <w:t>159</w:t>
      </w:r>
      <w:r>
        <w:rPr>
          <w:rFonts w:ascii="仿宋_GB2312" w:eastAsia="仿宋_GB2312" w:hint="eastAsia"/>
          <w:sz w:val="32"/>
          <w:szCs w:val="32"/>
        </w:rPr>
        <w:t>项，延期</w:t>
      </w:r>
      <w:r>
        <w:rPr>
          <w:rFonts w:ascii="仿宋_GB2312" w:eastAsia="仿宋_GB2312"/>
          <w:sz w:val="32"/>
          <w:szCs w:val="32"/>
        </w:rPr>
        <w:t>32</w:t>
      </w:r>
      <w:r>
        <w:rPr>
          <w:rFonts w:ascii="仿宋_GB2312" w:eastAsia="仿宋_GB2312" w:hint="eastAsia"/>
          <w:sz w:val="32"/>
          <w:szCs w:val="32"/>
        </w:rPr>
        <w:t>项，取消</w:t>
      </w:r>
      <w:r>
        <w:rPr>
          <w:rFonts w:ascii="仿宋_GB2312" w:eastAsia="仿宋_GB2312"/>
          <w:sz w:val="32"/>
          <w:szCs w:val="32"/>
        </w:rPr>
        <w:t>11</w:t>
      </w:r>
      <w:r>
        <w:rPr>
          <w:rFonts w:ascii="仿宋_GB2312" w:eastAsia="仿宋_GB2312" w:hint="eastAsia"/>
          <w:sz w:val="32"/>
          <w:szCs w:val="32"/>
        </w:rPr>
        <w:t>项。发表教研论文</w:t>
      </w:r>
      <w:r>
        <w:rPr>
          <w:rFonts w:ascii="仿宋_GB2312" w:eastAsia="仿宋_GB2312"/>
          <w:sz w:val="32"/>
          <w:szCs w:val="32"/>
        </w:rPr>
        <w:t>42</w:t>
      </w:r>
      <w:r>
        <w:rPr>
          <w:rFonts w:ascii="仿宋_GB2312" w:eastAsia="仿宋_GB2312" w:hint="eastAsia"/>
          <w:sz w:val="32"/>
          <w:szCs w:val="32"/>
        </w:rPr>
        <w:t>篇，其中核心期刊</w:t>
      </w:r>
      <w:r>
        <w:rPr>
          <w:rFonts w:ascii="仿宋_GB2312" w:eastAsia="仿宋_GB2312"/>
          <w:sz w:val="32"/>
          <w:szCs w:val="32"/>
        </w:rPr>
        <w:t>1</w:t>
      </w:r>
      <w:r>
        <w:rPr>
          <w:rFonts w:ascii="仿宋_GB2312" w:eastAsia="仿宋_GB2312" w:hint="eastAsia"/>
          <w:sz w:val="32"/>
          <w:szCs w:val="32"/>
        </w:rPr>
        <w:t>篇，取得专利</w:t>
      </w:r>
      <w:r>
        <w:rPr>
          <w:rFonts w:ascii="仿宋_GB2312" w:eastAsia="仿宋_GB2312"/>
          <w:sz w:val="32"/>
          <w:szCs w:val="32"/>
        </w:rPr>
        <w:t>4</w:t>
      </w:r>
      <w:r>
        <w:rPr>
          <w:rFonts w:ascii="仿宋_GB2312" w:eastAsia="仿宋_GB2312" w:hint="eastAsia"/>
          <w:sz w:val="32"/>
          <w:szCs w:val="32"/>
        </w:rPr>
        <w:t>项，设计各种样机</w:t>
      </w:r>
      <w:r>
        <w:rPr>
          <w:rFonts w:ascii="仿宋_GB2312" w:eastAsia="仿宋_GB2312"/>
          <w:sz w:val="32"/>
          <w:szCs w:val="32"/>
        </w:rPr>
        <w:t>14</w:t>
      </w:r>
      <w:r>
        <w:rPr>
          <w:rFonts w:ascii="仿宋_GB2312" w:eastAsia="仿宋_GB2312" w:hint="eastAsia"/>
          <w:sz w:val="32"/>
          <w:szCs w:val="32"/>
        </w:rPr>
        <w:t>个，设计系统</w:t>
      </w:r>
      <w:r>
        <w:rPr>
          <w:rFonts w:ascii="仿宋_GB2312" w:eastAsia="仿宋_GB2312"/>
          <w:sz w:val="32"/>
          <w:szCs w:val="32"/>
        </w:rPr>
        <w:t>3</w:t>
      </w:r>
      <w:r>
        <w:rPr>
          <w:rFonts w:ascii="仿宋_GB2312" w:eastAsia="仿宋_GB2312" w:hint="eastAsia"/>
          <w:sz w:val="32"/>
          <w:szCs w:val="32"/>
        </w:rPr>
        <w:t>个；验收自治区级大学生创新创业训练计划项目90项，结题77项，延期13项。发表教研论文</w:t>
      </w:r>
      <w:r>
        <w:rPr>
          <w:rFonts w:ascii="仿宋_GB2312" w:eastAsia="仿宋_GB2312"/>
          <w:sz w:val="32"/>
          <w:szCs w:val="32"/>
        </w:rPr>
        <w:t>39</w:t>
      </w:r>
      <w:r>
        <w:rPr>
          <w:rFonts w:ascii="仿宋_GB2312" w:eastAsia="仿宋_GB2312" w:hint="eastAsia"/>
          <w:sz w:val="32"/>
          <w:szCs w:val="32"/>
        </w:rPr>
        <w:t>篇，其中</w:t>
      </w:r>
      <w:r>
        <w:rPr>
          <w:rFonts w:ascii="仿宋_GB2312" w:eastAsia="仿宋_GB2312"/>
          <w:sz w:val="32"/>
          <w:szCs w:val="32"/>
        </w:rPr>
        <w:t>18</w:t>
      </w:r>
      <w:r>
        <w:rPr>
          <w:rFonts w:ascii="仿宋_GB2312" w:eastAsia="仿宋_GB2312" w:hint="eastAsia"/>
          <w:sz w:val="32"/>
          <w:szCs w:val="32"/>
        </w:rPr>
        <w:t>篇为核心期刊，专利</w:t>
      </w:r>
      <w:r>
        <w:rPr>
          <w:rFonts w:ascii="仿宋_GB2312" w:eastAsia="仿宋_GB2312"/>
          <w:sz w:val="32"/>
          <w:szCs w:val="32"/>
        </w:rPr>
        <w:t>1</w:t>
      </w:r>
      <w:r>
        <w:rPr>
          <w:rFonts w:ascii="仿宋_GB2312" w:eastAsia="仿宋_GB2312" w:hint="eastAsia"/>
          <w:sz w:val="32"/>
          <w:szCs w:val="32"/>
        </w:rPr>
        <w:t>项；验收国家级大学生创新创业训练计划项目</w:t>
      </w:r>
      <w:r>
        <w:rPr>
          <w:rFonts w:ascii="仿宋_GB2312" w:eastAsia="仿宋_GB2312"/>
          <w:sz w:val="32"/>
          <w:szCs w:val="32"/>
        </w:rPr>
        <w:t>21</w:t>
      </w:r>
      <w:r>
        <w:rPr>
          <w:rFonts w:ascii="仿宋_GB2312" w:eastAsia="仿宋_GB2312" w:hint="eastAsia"/>
          <w:sz w:val="32"/>
          <w:szCs w:val="32"/>
        </w:rPr>
        <w:t>项，结题</w:t>
      </w:r>
      <w:r>
        <w:rPr>
          <w:rFonts w:ascii="仿宋_GB2312" w:eastAsia="仿宋_GB2312"/>
          <w:sz w:val="32"/>
          <w:szCs w:val="32"/>
        </w:rPr>
        <w:t>20</w:t>
      </w:r>
      <w:r>
        <w:rPr>
          <w:rFonts w:ascii="仿宋_GB2312" w:eastAsia="仿宋_GB2312" w:hint="eastAsia"/>
          <w:sz w:val="32"/>
          <w:szCs w:val="32"/>
        </w:rPr>
        <w:t>项，延期</w:t>
      </w:r>
      <w:r>
        <w:rPr>
          <w:rFonts w:ascii="仿宋_GB2312" w:eastAsia="仿宋_GB2312"/>
          <w:sz w:val="32"/>
          <w:szCs w:val="32"/>
        </w:rPr>
        <w:t>1</w:t>
      </w:r>
      <w:r>
        <w:rPr>
          <w:rFonts w:ascii="仿宋_GB2312" w:eastAsia="仿宋_GB2312" w:hint="eastAsia"/>
          <w:sz w:val="32"/>
          <w:szCs w:val="32"/>
        </w:rPr>
        <w:t>项。发表教研论文</w:t>
      </w:r>
      <w:r>
        <w:rPr>
          <w:rFonts w:ascii="仿宋_GB2312" w:eastAsia="仿宋_GB2312"/>
          <w:sz w:val="32"/>
          <w:szCs w:val="32"/>
        </w:rPr>
        <w:t>16</w:t>
      </w:r>
      <w:r>
        <w:rPr>
          <w:rFonts w:ascii="仿宋_GB2312" w:eastAsia="仿宋_GB2312" w:hint="eastAsia"/>
          <w:sz w:val="32"/>
          <w:szCs w:val="32"/>
        </w:rPr>
        <w:t>篇，其中核心期刊</w:t>
      </w:r>
      <w:r>
        <w:rPr>
          <w:rFonts w:ascii="仿宋_GB2312" w:eastAsia="仿宋_GB2312"/>
          <w:sz w:val="32"/>
          <w:szCs w:val="32"/>
        </w:rPr>
        <w:t>8</w:t>
      </w:r>
      <w:r>
        <w:rPr>
          <w:rFonts w:ascii="仿宋_GB2312" w:eastAsia="仿宋_GB2312" w:hint="eastAsia"/>
          <w:sz w:val="32"/>
          <w:szCs w:val="32"/>
        </w:rPr>
        <w:t>篇，研究新产品</w:t>
      </w:r>
      <w:r>
        <w:rPr>
          <w:rFonts w:ascii="仿宋_GB2312" w:eastAsia="仿宋_GB2312"/>
          <w:sz w:val="32"/>
          <w:szCs w:val="32"/>
        </w:rPr>
        <w:t>2</w:t>
      </w:r>
      <w:r>
        <w:rPr>
          <w:rFonts w:ascii="仿宋_GB2312" w:eastAsia="仿宋_GB2312" w:hint="eastAsia"/>
          <w:sz w:val="32"/>
          <w:szCs w:val="32"/>
        </w:rPr>
        <w:t>个，参编著作</w:t>
      </w:r>
      <w:r>
        <w:rPr>
          <w:rFonts w:ascii="仿宋_GB2312" w:eastAsia="仿宋_GB2312"/>
          <w:sz w:val="32"/>
          <w:szCs w:val="32"/>
        </w:rPr>
        <w:t>1</w:t>
      </w:r>
      <w:r>
        <w:rPr>
          <w:rFonts w:ascii="仿宋_GB2312" w:eastAsia="仿宋_GB2312" w:hint="eastAsia"/>
          <w:sz w:val="32"/>
          <w:szCs w:val="32"/>
        </w:rPr>
        <w:t>部（见表8）。</w:t>
      </w:r>
    </w:p>
    <w:p w:rsidR="00C47CD0" w:rsidRDefault="00081AE9">
      <w:pPr>
        <w:jc w:val="center"/>
        <w:rPr>
          <w:rFonts w:ascii="宋体" w:hAnsi="宋体"/>
          <w:sz w:val="28"/>
          <w:szCs w:val="28"/>
        </w:rPr>
      </w:pPr>
      <w:r>
        <w:rPr>
          <w:rFonts w:ascii="宋体" w:hAnsi="宋体" w:hint="eastAsia"/>
          <w:sz w:val="28"/>
          <w:szCs w:val="28"/>
        </w:rPr>
        <w:t>表7</w:t>
      </w:r>
      <w:r>
        <w:rPr>
          <w:rFonts w:ascii="宋体" w:hAnsi="宋体"/>
          <w:sz w:val="28"/>
          <w:szCs w:val="28"/>
        </w:rPr>
        <w:t xml:space="preserve">  </w:t>
      </w:r>
      <w:r>
        <w:rPr>
          <w:rFonts w:ascii="宋体" w:hAnsi="宋体"/>
          <w:b/>
          <w:sz w:val="28"/>
          <w:szCs w:val="28"/>
        </w:rPr>
        <w:t>2015</w:t>
      </w:r>
      <w:r>
        <w:rPr>
          <w:rFonts w:ascii="宋体" w:hAnsi="宋体" w:hint="eastAsia"/>
          <w:b/>
          <w:sz w:val="28"/>
          <w:szCs w:val="28"/>
        </w:rPr>
        <w:t>年大学生创新创业训练计划项目立项一览表</w:t>
      </w:r>
    </w:p>
    <w:tbl>
      <w:tblPr>
        <w:tblW w:w="852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15"/>
        <w:gridCol w:w="1374"/>
        <w:gridCol w:w="1135"/>
        <w:gridCol w:w="1263"/>
        <w:gridCol w:w="1137"/>
        <w:gridCol w:w="1135"/>
        <w:gridCol w:w="1263"/>
      </w:tblGrid>
      <w:tr w:rsidR="00C47CD0">
        <w:tc>
          <w:tcPr>
            <w:tcW w:w="1215"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级别</w:t>
            </w:r>
          </w:p>
        </w:tc>
        <w:tc>
          <w:tcPr>
            <w:tcW w:w="1374" w:type="dxa"/>
            <w:tcBorders>
              <w:bottom w:val="single" w:sz="4" w:space="0" w:color="auto"/>
            </w:tcBorders>
          </w:tcPr>
          <w:p w:rsidR="00C47CD0" w:rsidRDefault="00081AE9">
            <w:pPr>
              <w:jc w:val="center"/>
              <w:rPr>
                <w:rFonts w:ascii="仿宋_GB2312" w:eastAsia="仿宋_GB2312"/>
                <w:b/>
                <w:sz w:val="24"/>
              </w:rPr>
            </w:pPr>
            <w:r>
              <w:rPr>
                <w:rFonts w:ascii="仿宋_GB2312" w:eastAsia="仿宋_GB2312" w:hint="eastAsia"/>
                <w:b/>
                <w:sz w:val="24"/>
              </w:rPr>
              <w:t>创新项</w:t>
            </w:r>
          </w:p>
          <w:p w:rsidR="00C47CD0" w:rsidRDefault="00081AE9">
            <w:pPr>
              <w:jc w:val="center"/>
              <w:rPr>
                <w:rFonts w:ascii="仿宋_GB2312" w:eastAsia="仿宋_GB2312"/>
                <w:b/>
                <w:sz w:val="24"/>
              </w:rPr>
            </w:pPr>
            <w:r>
              <w:rPr>
                <w:rFonts w:ascii="仿宋_GB2312" w:eastAsia="仿宋_GB2312" w:hint="eastAsia"/>
                <w:b/>
                <w:sz w:val="24"/>
              </w:rPr>
              <w:t>目数</w:t>
            </w:r>
          </w:p>
        </w:tc>
        <w:tc>
          <w:tcPr>
            <w:tcW w:w="1135" w:type="dxa"/>
            <w:tcBorders>
              <w:bottom w:val="single" w:sz="4" w:space="0" w:color="auto"/>
            </w:tcBorders>
          </w:tcPr>
          <w:p w:rsidR="00C47CD0" w:rsidRDefault="00081AE9">
            <w:pPr>
              <w:jc w:val="center"/>
              <w:rPr>
                <w:rFonts w:ascii="仿宋_GB2312" w:eastAsia="仿宋_GB2312"/>
                <w:b/>
                <w:sz w:val="24"/>
              </w:rPr>
            </w:pPr>
            <w:r>
              <w:rPr>
                <w:rFonts w:ascii="仿宋_GB2312" w:eastAsia="仿宋_GB2312" w:hint="eastAsia"/>
                <w:b/>
                <w:sz w:val="24"/>
              </w:rPr>
              <w:t>参加</w:t>
            </w:r>
          </w:p>
          <w:p w:rsidR="00C47CD0" w:rsidRDefault="00081AE9">
            <w:pPr>
              <w:jc w:val="center"/>
              <w:rPr>
                <w:rFonts w:ascii="仿宋_GB2312" w:eastAsia="仿宋_GB2312"/>
                <w:b/>
                <w:sz w:val="24"/>
              </w:rPr>
            </w:pPr>
            <w:r>
              <w:rPr>
                <w:rFonts w:ascii="仿宋_GB2312" w:eastAsia="仿宋_GB2312" w:hint="eastAsia"/>
                <w:b/>
                <w:sz w:val="24"/>
              </w:rPr>
              <w:t>人数</w:t>
            </w:r>
          </w:p>
        </w:tc>
        <w:tc>
          <w:tcPr>
            <w:tcW w:w="1263" w:type="dxa"/>
            <w:tcBorders>
              <w:bottom w:val="single" w:sz="4" w:space="0" w:color="auto"/>
            </w:tcBorders>
          </w:tcPr>
          <w:p w:rsidR="00C47CD0" w:rsidRDefault="00081AE9">
            <w:pPr>
              <w:jc w:val="center"/>
              <w:rPr>
                <w:rFonts w:ascii="仿宋_GB2312" w:eastAsia="仿宋_GB2312"/>
                <w:b/>
                <w:sz w:val="24"/>
              </w:rPr>
            </w:pPr>
            <w:r>
              <w:rPr>
                <w:rFonts w:ascii="仿宋_GB2312" w:eastAsia="仿宋_GB2312" w:hint="eastAsia"/>
                <w:b/>
                <w:sz w:val="24"/>
              </w:rPr>
              <w:t>创业项</w:t>
            </w:r>
          </w:p>
          <w:p w:rsidR="00C47CD0" w:rsidRDefault="00081AE9">
            <w:pPr>
              <w:jc w:val="center"/>
              <w:rPr>
                <w:rFonts w:ascii="仿宋_GB2312" w:eastAsia="仿宋_GB2312"/>
                <w:b/>
                <w:sz w:val="24"/>
              </w:rPr>
            </w:pPr>
            <w:r>
              <w:rPr>
                <w:rFonts w:ascii="仿宋_GB2312" w:eastAsia="仿宋_GB2312" w:hint="eastAsia"/>
                <w:b/>
                <w:sz w:val="24"/>
              </w:rPr>
              <w:t>目数</w:t>
            </w:r>
          </w:p>
        </w:tc>
        <w:tc>
          <w:tcPr>
            <w:tcW w:w="1137" w:type="dxa"/>
            <w:tcBorders>
              <w:bottom w:val="single" w:sz="4" w:space="0" w:color="auto"/>
            </w:tcBorders>
          </w:tcPr>
          <w:p w:rsidR="00C47CD0" w:rsidRDefault="00081AE9">
            <w:pPr>
              <w:jc w:val="center"/>
              <w:rPr>
                <w:rFonts w:ascii="仿宋_GB2312" w:eastAsia="仿宋_GB2312"/>
                <w:b/>
                <w:sz w:val="24"/>
              </w:rPr>
            </w:pPr>
            <w:r>
              <w:rPr>
                <w:rFonts w:ascii="仿宋_GB2312" w:eastAsia="仿宋_GB2312" w:hint="eastAsia"/>
                <w:b/>
                <w:sz w:val="24"/>
              </w:rPr>
              <w:t>参加</w:t>
            </w:r>
          </w:p>
          <w:p w:rsidR="00C47CD0" w:rsidRDefault="00081AE9">
            <w:pPr>
              <w:jc w:val="center"/>
              <w:rPr>
                <w:rFonts w:ascii="仿宋_GB2312" w:eastAsia="仿宋_GB2312"/>
                <w:b/>
                <w:sz w:val="24"/>
              </w:rPr>
            </w:pPr>
            <w:r>
              <w:rPr>
                <w:rFonts w:ascii="仿宋_GB2312" w:eastAsia="仿宋_GB2312" w:hint="eastAsia"/>
                <w:b/>
                <w:sz w:val="24"/>
              </w:rPr>
              <w:t>人数</w:t>
            </w:r>
          </w:p>
        </w:tc>
        <w:tc>
          <w:tcPr>
            <w:tcW w:w="1135" w:type="dxa"/>
            <w:tcBorders>
              <w:bottom w:val="single" w:sz="4" w:space="0" w:color="auto"/>
            </w:tcBorders>
          </w:tcPr>
          <w:p w:rsidR="00C47CD0" w:rsidRDefault="00081AE9">
            <w:pPr>
              <w:jc w:val="center"/>
              <w:rPr>
                <w:rFonts w:ascii="仿宋_GB2312" w:eastAsia="仿宋_GB2312"/>
                <w:b/>
                <w:sz w:val="24"/>
              </w:rPr>
            </w:pPr>
            <w:r>
              <w:rPr>
                <w:rFonts w:ascii="仿宋_GB2312" w:eastAsia="仿宋_GB2312" w:hint="eastAsia"/>
                <w:b/>
                <w:sz w:val="24"/>
              </w:rPr>
              <w:t>总项</w:t>
            </w:r>
          </w:p>
          <w:p w:rsidR="00C47CD0" w:rsidRDefault="00081AE9">
            <w:pPr>
              <w:jc w:val="center"/>
              <w:rPr>
                <w:rFonts w:ascii="仿宋_GB2312" w:eastAsia="仿宋_GB2312"/>
                <w:b/>
                <w:sz w:val="24"/>
              </w:rPr>
            </w:pPr>
            <w:r>
              <w:rPr>
                <w:rFonts w:ascii="仿宋_GB2312" w:eastAsia="仿宋_GB2312" w:hint="eastAsia"/>
                <w:b/>
                <w:sz w:val="24"/>
              </w:rPr>
              <w:t>目数</w:t>
            </w:r>
          </w:p>
        </w:tc>
        <w:tc>
          <w:tcPr>
            <w:tcW w:w="1263" w:type="dxa"/>
            <w:tcBorders>
              <w:bottom w:val="single" w:sz="4" w:space="0" w:color="auto"/>
            </w:tcBorders>
          </w:tcPr>
          <w:p w:rsidR="00C47CD0" w:rsidRDefault="00081AE9">
            <w:pPr>
              <w:jc w:val="center"/>
              <w:rPr>
                <w:rFonts w:ascii="仿宋_GB2312" w:eastAsia="仿宋_GB2312"/>
                <w:b/>
                <w:sz w:val="24"/>
              </w:rPr>
            </w:pPr>
            <w:r>
              <w:rPr>
                <w:rFonts w:ascii="仿宋_GB2312" w:eastAsia="仿宋_GB2312" w:hint="eastAsia"/>
                <w:b/>
                <w:sz w:val="24"/>
              </w:rPr>
              <w:t>参加总</w:t>
            </w:r>
          </w:p>
          <w:p w:rsidR="00C47CD0" w:rsidRDefault="00081AE9">
            <w:pPr>
              <w:jc w:val="center"/>
              <w:rPr>
                <w:rFonts w:ascii="仿宋_GB2312" w:eastAsia="仿宋_GB2312"/>
                <w:b/>
                <w:sz w:val="24"/>
              </w:rPr>
            </w:pPr>
            <w:r>
              <w:rPr>
                <w:rFonts w:ascii="仿宋_GB2312" w:eastAsia="仿宋_GB2312" w:hint="eastAsia"/>
                <w:b/>
                <w:sz w:val="24"/>
              </w:rPr>
              <w:t>人数</w:t>
            </w:r>
          </w:p>
        </w:tc>
      </w:tr>
      <w:tr w:rsidR="00C47CD0">
        <w:tc>
          <w:tcPr>
            <w:tcW w:w="1215" w:type="dxa"/>
            <w:tcBorders>
              <w:bottom w:val="nil"/>
            </w:tcBorders>
          </w:tcPr>
          <w:p w:rsidR="00C47CD0" w:rsidRDefault="00081AE9">
            <w:pPr>
              <w:jc w:val="center"/>
              <w:rPr>
                <w:rFonts w:ascii="仿宋_GB2312" w:eastAsia="仿宋_GB2312"/>
                <w:sz w:val="24"/>
              </w:rPr>
            </w:pPr>
            <w:r>
              <w:rPr>
                <w:rFonts w:ascii="仿宋_GB2312" w:eastAsia="仿宋_GB2312" w:hint="eastAsia"/>
                <w:sz w:val="24"/>
              </w:rPr>
              <w:t>国家级</w:t>
            </w:r>
          </w:p>
        </w:tc>
        <w:tc>
          <w:tcPr>
            <w:tcW w:w="1374" w:type="dxa"/>
            <w:tcBorders>
              <w:bottom w:val="nil"/>
            </w:tcBorders>
            <w:vAlign w:val="center"/>
          </w:tcPr>
          <w:p w:rsidR="00C47CD0" w:rsidRDefault="00081AE9">
            <w:pPr>
              <w:jc w:val="center"/>
              <w:rPr>
                <w:rFonts w:ascii="仿宋_GB2312" w:eastAsia="仿宋_GB2312"/>
                <w:sz w:val="24"/>
              </w:rPr>
            </w:pPr>
            <w:r>
              <w:rPr>
                <w:rFonts w:ascii="仿宋_GB2312" w:eastAsia="仿宋_GB2312"/>
                <w:sz w:val="24"/>
              </w:rPr>
              <w:t>36</w:t>
            </w:r>
          </w:p>
        </w:tc>
        <w:tc>
          <w:tcPr>
            <w:tcW w:w="1135" w:type="dxa"/>
            <w:tcBorders>
              <w:bottom w:val="nil"/>
            </w:tcBorders>
            <w:vAlign w:val="center"/>
          </w:tcPr>
          <w:p w:rsidR="00C47CD0" w:rsidRDefault="00081AE9">
            <w:pPr>
              <w:jc w:val="center"/>
              <w:rPr>
                <w:rFonts w:ascii="仿宋_GB2312" w:eastAsia="仿宋_GB2312"/>
                <w:sz w:val="24"/>
              </w:rPr>
            </w:pPr>
            <w:r>
              <w:rPr>
                <w:rFonts w:ascii="仿宋_GB2312" w:eastAsia="仿宋_GB2312"/>
                <w:sz w:val="24"/>
              </w:rPr>
              <w:t>143</w:t>
            </w:r>
          </w:p>
        </w:tc>
        <w:tc>
          <w:tcPr>
            <w:tcW w:w="1263" w:type="dxa"/>
            <w:tcBorders>
              <w:bottom w:val="nil"/>
            </w:tcBorders>
            <w:vAlign w:val="center"/>
          </w:tcPr>
          <w:p w:rsidR="00C47CD0" w:rsidRDefault="00081AE9">
            <w:pPr>
              <w:jc w:val="center"/>
              <w:rPr>
                <w:rFonts w:ascii="仿宋_GB2312" w:eastAsia="仿宋_GB2312"/>
                <w:sz w:val="24"/>
              </w:rPr>
            </w:pPr>
            <w:r>
              <w:rPr>
                <w:rFonts w:ascii="仿宋_GB2312" w:eastAsia="仿宋_GB2312"/>
                <w:sz w:val="24"/>
              </w:rPr>
              <w:t>8</w:t>
            </w:r>
          </w:p>
        </w:tc>
        <w:tc>
          <w:tcPr>
            <w:tcW w:w="1137" w:type="dxa"/>
            <w:tcBorders>
              <w:bottom w:val="nil"/>
            </w:tcBorders>
            <w:vAlign w:val="center"/>
          </w:tcPr>
          <w:p w:rsidR="00C47CD0" w:rsidRDefault="00081AE9">
            <w:pPr>
              <w:jc w:val="center"/>
              <w:rPr>
                <w:rFonts w:ascii="仿宋_GB2312" w:eastAsia="仿宋_GB2312"/>
                <w:sz w:val="24"/>
              </w:rPr>
            </w:pPr>
            <w:r>
              <w:rPr>
                <w:rFonts w:ascii="仿宋_GB2312" w:eastAsia="仿宋_GB2312"/>
                <w:sz w:val="24"/>
              </w:rPr>
              <w:t>30</w:t>
            </w:r>
          </w:p>
        </w:tc>
        <w:tc>
          <w:tcPr>
            <w:tcW w:w="1135" w:type="dxa"/>
            <w:tcBorders>
              <w:bottom w:val="nil"/>
            </w:tcBorders>
            <w:vAlign w:val="center"/>
          </w:tcPr>
          <w:p w:rsidR="00C47CD0" w:rsidRDefault="00081AE9">
            <w:pPr>
              <w:jc w:val="center"/>
              <w:rPr>
                <w:rFonts w:ascii="仿宋_GB2312" w:eastAsia="仿宋_GB2312"/>
                <w:sz w:val="24"/>
              </w:rPr>
            </w:pPr>
            <w:r>
              <w:rPr>
                <w:rFonts w:ascii="仿宋_GB2312" w:eastAsia="仿宋_GB2312"/>
                <w:sz w:val="24"/>
              </w:rPr>
              <w:t>44</w:t>
            </w:r>
          </w:p>
        </w:tc>
        <w:tc>
          <w:tcPr>
            <w:tcW w:w="1263" w:type="dxa"/>
            <w:tcBorders>
              <w:bottom w:val="nil"/>
            </w:tcBorders>
            <w:vAlign w:val="center"/>
          </w:tcPr>
          <w:p w:rsidR="00C47CD0" w:rsidRDefault="00081AE9">
            <w:pPr>
              <w:jc w:val="center"/>
              <w:rPr>
                <w:rFonts w:ascii="仿宋_GB2312" w:eastAsia="仿宋_GB2312"/>
                <w:sz w:val="24"/>
              </w:rPr>
            </w:pPr>
            <w:r>
              <w:rPr>
                <w:rFonts w:ascii="仿宋_GB2312" w:eastAsia="仿宋_GB2312"/>
                <w:sz w:val="24"/>
              </w:rPr>
              <w:t>173</w:t>
            </w:r>
          </w:p>
        </w:tc>
      </w:tr>
      <w:tr w:rsidR="00C47CD0">
        <w:tc>
          <w:tcPr>
            <w:tcW w:w="1215" w:type="dxa"/>
            <w:tcBorders>
              <w:top w:val="nil"/>
              <w:bottom w:val="nil"/>
            </w:tcBorders>
          </w:tcPr>
          <w:p w:rsidR="00C47CD0" w:rsidRDefault="00081AE9">
            <w:pPr>
              <w:jc w:val="center"/>
              <w:rPr>
                <w:rFonts w:ascii="仿宋_GB2312" w:eastAsia="仿宋_GB2312"/>
                <w:sz w:val="24"/>
              </w:rPr>
            </w:pPr>
            <w:r>
              <w:rPr>
                <w:rFonts w:ascii="仿宋_GB2312" w:eastAsia="仿宋_GB2312" w:hint="eastAsia"/>
                <w:sz w:val="24"/>
              </w:rPr>
              <w:t>自治区级</w:t>
            </w:r>
          </w:p>
        </w:tc>
        <w:tc>
          <w:tcPr>
            <w:tcW w:w="1374" w:type="dxa"/>
            <w:tcBorders>
              <w:top w:val="nil"/>
              <w:bottom w:val="nil"/>
            </w:tcBorders>
            <w:vAlign w:val="center"/>
          </w:tcPr>
          <w:p w:rsidR="00C47CD0" w:rsidRDefault="00081AE9">
            <w:pPr>
              <w:jc w:val="center"/>
              <w:rPr>
                <w:rFonts w:ascii="仿宋_GB2312" w:eastAsia="仿宋_GB2312"/>
                <w:sz w:val="24"/>
              </w:rPr>
            </w:pPr>
            <w:r>
              <w:rPr>
                <w:rFonts w:ascii="仿宋_GB2312" w:eastAsia="仿宋_GB2312"/>
                <w:sz w:val="24"/>
              </w:rPr>
              <w:t>82</w:t>
            </w:r>
          </w:p>
        </w:tc>
        <w:tc>
          <w:tcPr>
            <w:tcW w:w="1135" w:type="dxa"/>
            <w:tcBorders>
              <w:top w:val="nil"/>
              <w:bottom w:val="nil"/>
            </w:tcBorders>
            <w:vAlign w:val="center"/>
          </w:tcPr>
          <w:p w:rsidR="00C47CD0" w:rsidRDefault="00081AE9">
            <w:pPr>
              <w:jc w:val="center"/>
              <w:rPr>
                <w:rFonts w:ascii="仿宋_GB2312" w:eastAsia="仿宋_GB2312"/>
                <w:sz w:val="24"/>
              </w:rPr>
            </w:pPr>
            <w:r>
              <w:rPr>
                <w:rFonts w:ascii="仿宋_GB2312" w:eastAsia="仿宋_GB2312"/>
                <w:sz w:val="24"/>
              </w:rPr>
              <w:t>308</w:t>
            </w:r>
          </w:p>
        </w:tc>
        <w:tc>
          <w:tcPr>
            <w:tcW w:w="1263" w:type="dxa"/>
            <w:tcBorders>
              <w:top w:val="nil"/>
              <w:bottom w:val="nil"/>
            </w:tcBorders>
            <w:vAlign w:val="center"/>
          </w:tcPr>
          <w:p w:rsidR="00C47CD0" w:rsidRDefault="00081AE9">
            <w:pPr>
              <w:jc w:val="center"/>
              <w:rPr>
                <w:rFonts w:ascii="仿宋_GB2312" w:eastAsia="仿宋_GB2312"/>
                <w:sz w:val="24"/>
              </w:rPr>
            </w:pPr>
            <w:r>
              <w:rPr>
                <w:rFonts w:ascii="仿宋_GB2312" w:eastAsia="仿宋_GB2312"/>
                <w:sz w:val="24"/>
              </w:rPr>
              <w:t>7</w:t>
            </w:r>
          </w:p>
        </w:tc>
        <w:tc>
          <w:tcPr>
            <w:tcW w:w="1137" w:type="dxa"/>
            <w:tcBorders>
              <w:top w:val="nil"/>
              <w:bottom w:val="nil"/>
            </w:tcBorders>
            <w:vAlign w:val="center"/>
          </w:tcPr>
          <w:p w:rsidR="00C47CD0" w:rsidRDefault="00081AE9">
            <w:pPr>
              <w:jc w:val="center"/>
              <w:rPr>
                <w:rFonts w:ascii="仿宋_GB2312" w:eastAsia="仿宋_GB2312"/>
                <w:sz w:val="24"/>
              </w:rPr>
            </w:pPr>
            <w:r>
              <w:rPr>
                <w:rFonts w:ascii="仿宋_GB2312" w:eastAsia="仿宋_GB2312"/>
                <w:sz w:val="24"/>
              </w:rPr>
              <w:t>21</w:t>
            </w:r>
          </w:p>
        </w:tc>
        <w:tc>
          <w:tcPr>
            <w:tcW w:w="1135" w:type="dxa"/>
            <w:tcBorders>
              <w:top w:val="nil"/>
              <w:bottom w:val="nil"/>
            </w:tcBorders>
            <w:vAlign w:val="center"/>
          </w:tcPr>
          <w:p w:rsidR="00C47CD0" w:rsidRDefault="00081AE9">
            <w:pPr>
              <w:jc w:val="center"/>
              <w:rPr>
                <w:rFonts w:ascii="仿宋_GB2312" w:eastAsia="仿宋_GB2312"/>
                <w:sz w:val="24"/>
              </w:rPr>
            </w:pPr>
            <w:r>
              <w:rPr>
                <w:rFonts w:ascii="仿宋_GB2312" w:eastAsia="仿宋_GB2312"/>
                <w:sz w:val="24"/>
              </w:rPr>
              <w:t>89</w:t>
            </w:r>
          </w:p>
        </w:tc>
        <w:tc>
          <w:tcPr>
            <w:tcW w:w="1263" w:type="dxa"/>
            <w:tcBorders>
              <w:top w:val="nil"/>
              <w:bottom w:val="nil"/>
            </w:tcBorders>
            <w:vAlign w:val="center"/>
          </w:tcPr>
          <w:p w:rsidR="00C47CD0" w:rsidRDefault="00081AE9">
            <w:pPr>
              <w:jc w:val="center"/>
              <w:rPr>
                <w:rFonts w:ascii="仿宋_GB2312" w:eastAsia="仿宋_GB2312"/>
                <w:sz w:val="24"/>
              </w:rPr>
            </w:pPr>
            <w:r>
              <w:rPr>
                <w:rFonts w:ascii="仿宋_GB2312" w:eastAsia="仿宋_GB2312"/>
                <w:sz w:val="24"/>
              </w:rPr>
              <w:t>329</w:t>
            </w:r>
          </w:p>
        </w:tc>
      </w:tr>
      <w:tr w:rsidR="00C47CD0">
        <w:tc>
          <w:tcPr>
            <w:tcW w:w="1215" w:type="dxa"/>
            <w:tcBorders>
              <w:top w:val="nil"/>
            </w:tcBorders>
          </w:tcPr>
          <w:p w:rsidR="00C47CD0" w:rsidRDefault="00081AE9">
            <w:pPr>
              <w:jc w:val="center"/>
              <w:rPr>
                <w:rFonts w:ascii="仿宋_GB2312" w:eastAsia="仿宋_GB2312"/>
                <w:sz w:val="24"/>
              </w:rPr>
            </w:pPr>
            <w:r>
              <w:rPr>
                <w:rFonts w:ascii="仿宋_GB2312" w:eastAsia="仿宋_GB2312" w:hint="eastAsia"/>
                <w:sz w:val="24"/>
              </w:rPr>
              <w:t>校级</w:t>
            </w:r>
          </w:p>
        </w:tc>
        <w:tc>
          <w:tcPr>
            <w:tcW w:w="1374" w:type="dxa"/>
            <w:tcBorders>
              <w:top w:val="nil"/>
            </w:tcBorders>
            <w:vAlign w:val="center"/>
          </w:tcPr>
          <w:p w:rsidR="00C47CD0" w:rsidRDefault="00081AE9">
            <w:pPr>
              <w:jc w:val="center"/>
              <w:rPr>
                <w:rFonts w:ascii="仿宋_GB2312" w:eastAsia="仿宋_GB2312"/>
                <w:sz w:val="24"/>
              </w:rPr>
            </w:pPr>
            <w:r>
              <w:rPr>
                <w:rFonts w:ascii="仿宋_GB2312" w:eastAsia="仿宋_GB2312"/>
                <w:sz w:val="24"/>
              </w:rPr>
              <w:t>173</w:t>
            </w:r>
          </w:p>
        </w:tc>
        <w:tc>
          <w:tcPr>
            <w:tcW w:w="1135" w:type="dxa"/>
            <w:tcBorders>
              <w:top w:val="nil"/>
            </w:tcBorders>
            <w:vAlign w:val="center"/>
          </w:tcPr>
          <w:p w:rsidR="00C47CD0" w:rsidRDefault="00081AE9">
            <w:pPr>
              <w:jc w:val="center"/>
              <w:rPr>
                <w:rFonts w:ascii="仿宋_GB2312" w:eastAsia="仿宋_GB2312"/>
                <w:sz w:val="24"/>
              </w:rPr>
            </w:pPr>
            <w:r>
              <w:rPr>
                <w:rFonts w:ascii="仿宋_GB2312" w:eastAsia="仿宋_GB2312"/>
                <w:sz w:val="24"/>
              </w:rPr>
              <w:t>610</w:t>
            </w:r>
          </w:p>
        </w:tc>
        <w:tc>
          <w:tcPr>
            <w:tcW w:w="1263" w:type="dxa"/>
            <w:tcBorders>
              <w:top w:val="nil"/>
            </w:tcBorders>
            <w:vAlign w:val="center"/>
          </w:tcPr>
          <w:p w:rsidR="00C47CD0" w:rsidRDefault="00081AE9">
            <w:pPr>
              <w:jc w:val="center"/>
              <w:rPr>
                <w:rFonts w:ascii="仿宋_GB2312" w:eastAsia="仿宋_GB2312"/>
                <w:sz w:val="24"/>
              </w:rPr>
            </w:pPr>
            <w:r>
              <w:rPr>
                <w:rFonts w:ascii="仿宋_GB2312" w:eastAsia="仿宋_GB2312"/>
                <w:sz w:val="24"/>
              </w:rPr>
              <w:t>0</w:t>
            </w:r>
          </w:p>
        </w:tc>
        <w:tc>
          <w:tcPr>
            <w:tcW w:w="1137" w:type="dxa"/>
            <w:tcBorders>
              <w:top w:val="nil"/>
            </w:tcBorders>
            <w:vAlign w:val="center"/>
          </w:tcPr>
          <w:p w:rsidR="00C47CD0" w:rsidRDefault="00081AE9">
            <w:pPr>
              <w:jc w:val="center"/>
              <w:rPr>
                <w:rFonts w:ascii="仿宋_GB2312" w:eastAsia="仿宋_GB2312"/>
                <w:sz w:val="24"/>
              </w:rPr>
            </w:pPr>
            <w:r>
              <w:rPr>
                <w:rFonts w:ascii="仿宋_GB2312" w:eastAsia="仿宋_GB2312"/>
                <w:sz w:val="24"/>
              </w:rPr>
              <w:t>0</w:t>
            </w:r>
          </w:p>
        </w:tc>
        <w:tc>
          <w:tcPr>
            <w:tcW w:w="1135" w:type="dxa"/>
            <w:tcBorders>
              <w:top w:val="nil"/>
            </w:tcBorders>
            <w:vAlign w:val="center"/>
          </w:tcPr>
          <w:p w:rsidR="00C47CD0" w:rsidRDefault="00081AE9">
            <w:pPr>
              <w:jc w:val="center"/>
              <w:rPr>
                <w:rFonts w:ascii="仿宋_GB2312" w:eastAsia="仿宋_GB2312"/>
                <w:sz w:val="24"/>
              </w:rPr>
            </w:pPr>
            <w:r>
              <w:rPr>
                <w:rFonts w:ascii="仿宋_GB2312" w:eastAsia="仿宋_GB2312"/>
                <w:sz w:val="24"/>
              </w:rPr>
              <w:t>173</w:t>
            </w:r>
          </w:p>
        </w:tc>
        <w:tc>
          <w:tcPr>
            <w:tcW w:w="1263" w:type="dxa"/>
            <w:tcBorders>
              <w:top w:val="nil"/>
            </w:tcBorders>
            <w:vAlign w:val="center"/>
          </w:tcPr>
          <w:p w:rsidR="00C47CD0" w:rsidRDefault="00081AE9">
            <w:pPr>
              <w:jc w:val="center"/>
              <w:rPr>
                <w:rFonts w:ascii="仿宋_GB2312" w:eastAsia="仿宋_GB2312"/>
                <w:sz w:val="24"/>
              </w:rPr>
            </w:pPr>
            <w:r>
              <w:rPr>
                <w:rFonts w:ascii="仿宋_GB2312" w:eastAsia="仿宋_GB2312"/>
                <w:sz w:val="24"/>
              </w:rPr>
              <w:t>610</w:t>
            </w:r>
          </w:p>
        </w:tc>
      </w:tr>
    </w:tbl>
    <w:p w:rsidR="00C47CD0" w:rsidRDefault="00C47CD0">
      <w:pPr>
        <w:jc w:val="center"/>
        <w:rPr>
          <w:rFonts w:ascii="宋体" w:hAnsi="宋体"/>
          <w:sz w:val="28"/>
          <w:szCs w:val="28"/>
        </w:rPr>
      </w:pPr>
    </w:p>
    <w:p w:rsidR="00C47CD0" w:rsidRDefault="00081AE9">
      <w:pPr>
        <w:jc w:val="center"/>
        <w:rPr>
          <w:rFonts w:ascii="宋体" w:hAnsi="宋体"/>
          <w:b/>
          <w:sz w:val="28"/>
          <w:szCs w:val="28"/>
        </w:rPr>
      </w:pPr>
      <w:r>
        <w:rPr>
          <w:rFonts w:ascii="宋体" w:hAnsi="宋体" w:hint="eastAsia"/>
          <w:sz w:val="28"/>
          <w:szCs w:val="28"/>
        </w:rPr>
        <w:t>表8</w:t>
      </w:r>
      <w:r>
        <w:rPr>
          <w:rFonts w:ascii="宋体" w:hAnsi="宋体"/>
          <w:sz w:val="28"/>
          <w:szCs w:val="28"/>
        </w:rPr>
        <w:t xml:space="preserve"> </w:t>
      </w:r>
      <w:r>
        <w:rPr>
          <w:rFonts w:ascii="宋体" w:hAnsi="宋体"/>
          <w:b/>
          <w:sz w:val="28"/>
          <w:szCs w:val="28"/>
        </w:rPr>
        <w:t xml:space="preserve"> 2015</w:t>
      </w:r>
      <w:r>
        <w:rPr>
          <w:rFonts w:ascii="宋体" w:hAnsi="宋体" w:hint="eastAsia"/>
          <w:b/>
          <w:sz w:val="28"/>
          <w:szCs w:val="28"/>
        </w:rPr>
        <w:t>年大学生创新创业训练计划项目结项一览表</w:t>
      </w:r>
    </w:p>
    <w:tbl>
      <w:tblPr>
        <w:tblW w:w="87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39"/>
        <w:gridCol w:w="633"/>
        <w:gridCol w:w="633"/>
        <w:gridCol w:w="632"/>
        <w:gridCol w:w="1040"/>
        <w:gridCol w:w="781"/>
        <w:gridCol w:w="711"/>
        <w:gridCol w:w="711"/>
        <w:gridCol w:w="809"/>
        <w:gridCol w:w="902"/>
        <w:gridCol w:w="566"/>
      </w:tblGrid>
      <w:tr w:rsidR="00C47CD0">
        <w:tc>
          <w:tcPr>
            <w:tcW w:w="1339"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级别</w:t>
            </w:r>
          </w:p>
        </w:tc>
        <w:tc>
          <w:tcPr>
            <w:tcW w:w="633"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结项</w:t>
            </w:r>
          </w:p>
        </w:tc>
        <w:tc>
          <w:tcPr>
            <w:tcW w:w="633"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延期</w:t>
            </w:r>
          </w:p>
        </w:tc>
        <w:tc>
          <w:tcPr>
            <w:tcW w:w="632"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取消</w:t>
            </w:r>
          </w:p>
        </w:tc>
        <w:tc>
          <w:tcPr>
            <w:tcW w:w="1040"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发表</w:t>
            </w:r>
          </w:p>
          <w:p w:rsidR="00C47CD0" w:rsidRDefault="00081AE9">
            <w:pPr>
              <w:jc w:val="center"/>
              <w:rPr>
                <w:rFonts w:ascii="仿宋_GB2312" w:eastAsia="仿宋_GB2312"/>
                <w:b/>
                <w:sz w:val="24"/>
              </w:rPr>
            </w:pPr>
            <w:r>
              <w:rPr>
                <w:rFonts w:ascii="仿宋_GB2312" w:eastAsia="仿宋_GB2312" w:hint="eastAsia"/>
                <w:b/>
                <w:sz w:val="24"/>
              </w:rPr>
              <w:t>论文</w:t>
            </w:r>
          </w:p>
        </w:tc>
        <w:tc>
          <w:tcPr>
            <w:tcW w:w="781"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核心</w:t>
            </w:r>
          </w:p>
          <w:p w:rsidR="00C47CD0" w:rsidRDefault="00081AE9">
            <w:pPr>
              <w:jc w:val="center"/>
              <w:rPr>
                <w:rFonts w:ascii="仿宋_GB2312" w:eastAsia="仿宋_GB2312"/>
                <w:b/>
                <w:sz w:val="24"/>
              </w:rPr>
            </w:pPr>
            <w:r>
              <w:rPr>
                <w:rFonts w:ascii="仿宋_GB2312" w:eastAsia="仿宋_GB2312" w:hint="eastAsia"/>
                <w:b/>
                <w:sz w:val="24"/>
              </w:rPr>
              <w:t>论文</w:t>
            </w:r>
          </w:p>
        </w:tc>
        <w:tc>
          <w:tcPr>
            <w:tcW w:w="711"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专利</w:t>
            </w:r>
          </w:p>
        </w:tc>
        <w:tc>
          <w:tcPr>
            <w:tcW w:w="711"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样机</w:t>
            </w:r>
          </w:p>
        </w:tc>
        <w:tc>
          <w:tcPr>
            <w:tcW w:w="809"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系统</w:t>
            </w:r>
          </w:p>
        </w:tc>
        <w:tc>
          <w:tcPr>
            <w:tcW w:w="902"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新产品</w:t>
            </w:r>
          </w:p>
        </w:tc>
        <w:tc>
          <w:tcPr>
            <w:tcW w:w="566" w:type="dxa"/>
            <w:tcBorders>
              <w:bottom w:val="single" w:sz="4" w:space="0" w:color="auto"/>
            </w:tcBorders>
            <w:vAlign w:val="center"/>
          </w:tcPr>
          <w:p w:rsidR="00C47CD0" w:rsidRDefault="00081AE9">
            <w:pPr>
              <w:jc w:val="center"/>
              <w:rPr>
                <w:rFonts w:ascii="仿宋_GB2312" w:eastAsia="仿宋_GB2312"/>
                <w:b/>
                <w:sz w:val="24"/>
              </w:rPr>
            </w:pPr>
            <w:r>
              <w:rPr>
                <w:rFonts w:ascii="仿宋_GB2312" w:eastAsia="仿宋_GB2312" w:hint="eastAsia"/>
                <w:b/>
                <w:sz w:val="24"/>
              </w:rPr>
              <w:t>著作</w:t>
            </w:r>
          </w:p>
        </w:tc>
      </w:tr>
      <w:tr w:rsidR="00C47CD0">
        <w:tc>
          <w:tcPr>
            <w:tcW w:w="1339" w:type="dxa"/>
            <w:tcBorders>
              <w:bottom w:val="nil"/>
            </w:tcBorders>
          </w:tcPr>
          <w:p w:rsidR="00C47CD0" w:rsidRDefault="00081AE9">
            <w:pPr>
              <w:jc w:val="center"/>
              <w:rPr>
                <w:rFonts w:ascii="仿宋_GB2312" w:eastAsia="仿宋_GB2312"/>
                <w:sz w:val="24"/>
              </w:rPr>
            </w:pPr>
            <w:r>
              <w:rPr>
                <w:rFonts w:ascii="仿宋_GB2312" w:eastAsia="仿宋_GB2312" w:hint="eastAsia"/>
                <w:sz w:val="24"/>
              </w:rPr>
              <w:t>国家级</w:t>
            </w:r>
          </w:p>
        </w:tc>
        <w:tc>
          <w:tcPr>
            <w:tcW w:w="633" w:type="dxa"/>
            <w:tcBorders>
              <w:bottom w:val="nil"/>
            </w:tcBorders>
          </w:tcPr>
          <w:p w:rsidR="00C47CD0" w:rsidRDefault="00081AE9">
            <w:pPr>
              <w:jc w:val="center"/>
              <w:rPr>
                <w:rFonts w:ascii="仿宋_GB2312" w:eastAsia="仿宋_GB2312"/>
                <w:sz w:val="24"/>
              </w:rPr>
            </w:pPr>
            <w:r>
              <w:rPr>
                <w:rFonts w:ascii="仿宋_GB2312" w:eastAsia="仿宋_GB2312"/>
                <w:sz w:val="24"/>
              </w:rPr>
              <w:t>20</w:t>
            </w:r>
          </w:p>
        </w:tc>
        <w:tc>
          <w:tcPr>
            <w:tcW w:w="633" w:type="dxa"/>
            <w:tcBorders>
              <w:bottom w:val="nil"/>
            </w:tcBorders>
          </w:tcPr>
          <w:p w:rsidR="00C47CD0" w:rsidRDefault="00081AE9">
            <w:pPr>
              <w:jc w:val="center"/>
              <w:rPr>
                <w:rFonts w:ascii="仿宋_GB2312" w:eastAsia="仿宋_GB2312"/>
                <w:sz w:val="24"/>
              </w:rPr>
            </w:pPr>
            <w:r>
              <w:rPr>
                <w:rFonts w:ascii="仿宋_GB2312" w:eastAsia="仿宋_GB2312"/>
                <w:sz w:val="24"/>
              </w:rPr>
              <w:t>1</w:t>
            </w:r>
          </w:p>
        </w:tc>
        <w:tc>
          <w:tcPr>
            <w:tcW w:w="632" w:type="dxa"/>
            <w:tcBorders>
              <w:bottom w:val="nil"/>
            </w:tcBorders>
          </w:tcPr>
          <w:p w:rsidR="00C47CD0" w:rsidRDefault="00081AE9">
            <w:pPr>
              <w:jc w:val="center"/>
              <w:rPr>
                <w:rFonts w:ascii="仿宋_GB2312" w:eastAsia="仿宋_GB2312"/>
                <w:sz w:val="24"/>
              </w:rPr>
            </w:pPr>
            <w:r>
              <w:rPr>
                <w:rFonts w:ascii="仿宋_GB2312" w:eastAsia="仿宋_GB2312"/>
                <w:sz w:val="24"/>
              </w:rPr>
              <w:t>0</w:t>
            </w:r>
          </w:p>
        </w:tc>
        <w:tc>
          <w:tcPr>
            <w:tcW w:w="1040" w:type="dxa"/>
            <w:tcBorders>
              <w:bottom w:val="nil"/>
            </w:tcBorders>
          </w:tcPr>
          <w:p w:rsidR="00C47CD0" w:rsidRDefault="00081AE9">
            <w:pPr>
              <w:jc w:val="center"/>
              <w:rPr>
                <w:rFonts w:ascii="仿宋_GB2312" w:eastAsia="仿宋_GB2312"/>
                <w:sz w:val="24"/>
              </w:rPr>
            </w:pPr>
            <w:r>
              <w:rPr>
                <w:rFonts w:ascii="仿宋_GB2312" w:eastAsia="仿宋_GB2312"/>
                <w:sz w:val="24"/>
              </w:rPr>
              <w:t>16</w:t>
            </w:r>
          </w:p>
        </w:tc>
        <w:tc>
          <w:tcPr>
            <w:tcW w:w="781" w:type="dxa"/>
            <w:tcBorders>
              <w:bottom w:val="nil"/>
            </w:tcBorders>
          </w:tcPr>
          <w:p w:rsidR="00C47CD0" w:rsidRDefault="00081AE9">
            <w:pPr>
              <w:jc w:val="center"/>
              <w:rPr>
                <w:rFonts w:ascii="仿宋_GB2312" w:eastAsia="仿宋_GB2312"/>
                <w:sz w:val="24"/>
              </w:rPr>
            </w:pPr>
            <w:r>
              <w:rPr>
                <w:rFonts w:ascii="仿宋_GB2312" w:eastAsia="仿宋_GB2312"/>
                <w:sz w:val="24"/>
              </w:rPr>
              <w:t>8</w:t>
            </w:r>
          </w:p>
        </w:tc>
        <w:tc>
          <w:tcPr>
            <w:tcW w:w="711" w:type="dxa"/>
            <w:tcBorders>
              <w:bottom w:val="nil"/>
            </w:tcBorders>
          </w:tcPr>
          <w:p w:rsidR="00C47CD0" w:rsidRDefault="00081AE9">
            <w:pPr>
              <w:jc w:val="center"/>
              <w:rPr>
                <w:rFonts w:ascii="仿宋_GB2312" w:eastAsia="仿宋_GB2312"/>
                <w:sz w:val="24"/>
              </w:rPr>
            </w:pPr>
            <w:r>
              <w:rPr>
                <w:rFonts w:ascii="仿宋_GB2312" w:eastAsia="仿宋_GB2312"/>
                <w:sz w:val="24"/>
              </w:rPr>
              <w:t>0</w:t>
            </w:r>
          </w:p>
        </w:tc>
        <w:tc>
          <w:tcPr>
            <w:tcW w:w="711" w:type="dxa"/>
            <w:tcBorders>
              <w:bottom w:val="nil"/>
            </w:tcBorders>
          </w:tcPr>
          <w:p w:rsidR="00C47CD0" w:rsidRDefault="00081AE9">
            <w:pPr>
              <w:jc w:val="center"/>
              <w:rPr>
                <w:rFonts w:ascii="仿宋_GB2312" w:eastAsia="仿宋_GB2312"/>
                <w:sz w:val="24"/>
              </w:rPr>
            </w:pPr>
            <w:r>
              <w:rPr>
                <w:rFonts w:ascii="仿宋_GB2312" w:eastAsia="仿宋_GB2312"/>
                <w:sz w:val="24"/>
              </w:rPr>
              <w:t>0</w:t>
            </w:r>
          </w:p>
        </w:tc>
        <w:tc>
          <w:tcPr>
            <w:tcW w:w="809" w:type="dxa"/>
            <w:tcBorders>
              <w:bottom w:val="nil"/>
            </w:tcBorders>
          </w:tcPr>
          <w:p w:rsidR="00C47CD0" w:rsidRDefault="00081AE9">
            <w:pPr>
              <w:jc w:val="center"/>
              <w:rPr>
                <w:rFonts w:ascii="仿宋_GB2312" w:eastAsia="仿宋_GB2312"/>
                <w:sz w:val="24"/>
              </w:rPr>
            </w:pPr>
            <w:r>
              <w:rPr>
                <w:rFonts w:ascii="仿宋_GB2312" w:eastAsia="仿宋_GB2312"/>
                <w:sz w:val="24"/>
              </w:rPr>
              <w:t>0</w:t>
            </w:r>
          </w:p>
        </w:tc>
        <w:tc>
          <w:tcPr>
            <w:tcW w:w="902" w:type="dxa"/>
            <w:tcBorders>
              <w:bottom w:val="nil"/>
            </w:tcBorders>
          </w:tcPr>
          <w:p w:rsidR="00C47CD0" w:rsidRDefault="00081AE9">
            <w:pPr>
              <w:jc w:val="center"/>
              <w:rPr>
                <w:rFonts w:ascii="仿宋_GB2312" w:eastAsia="仿宋_GB2312"/>
                <w:sz w:val="24"/>
              </w:rPr>
            </w:pPr>
            <w:r>
              <w:rPr>
                <w:rFonts w:ascii="仿宋_GB2312" w:eastAsia="仿宋_GB2312"/>
                <w:sz w:val="24"/>
              </w:rPr>
              <w:t>2</w:t>
            </w:r>
          </w:p>
        </w:tc>
        <w:tc>
          <w:tcPr>
            <w:tcW w:w="566" w:type="dxa"/>
            <w:tcBorders>
              <w:bottom w:val="nil"/>
            </w:tcBorders>
          </w:tcPr>
          <w:p w:rsidR="00C47CD0" w:rsidRDefault="00081AE9">
            <w:pPr>
              <w:jc w:val="center"/>
              <w:rPr>
                <w:rFonts w:ascii="仿宋_GB2312" w:eastAsia="仿宋_GB2312"/>
                <w:sz w:val="24"/>
              </w:rPr>
            </w:pPr>
            <w:r>
              <w:rPr>
                <w:rFonts w:ascii="仿宋_GB2312" w:eastAsia="仿宋_GB2312"/>
                <w:sz w:val="24"/>
              </w:rPr>
              <w:t>1</w:t>
            </w:r>
          </w:p>
        </w:tc>
      </w:tr>
      <w:tr w:rsidR="00C47CD0">
        <w:tc>
          <w:tcPr>
            <w:tcW w:w="1339" w:type="dxa"/>
            <w:tcBorders>
              <w:top w:val="nil"/>
              <w:bottom w:val="nil"/>
            </w:tcBorders>
          </w:tcPr>
          <w:p w:rsidR="00C47CD0" w:rsidRDefault="00081AE9">
            <w:pPr>
              <w:jc w:val="center"/>
              <w:rPr>
                <w:rFonts w:ascii="仿宋_GB2312" w:eastAsia="仿宋_GB2312"/>
                <w:sz w:val="24"/>
              </w:rPr>
            </w:pPr>
            <w:r>
              <w:rPr>
                <w:rFonts w:ascii="仿宋_GB2312" w:eastAsia="仿宋_GB2312" w:hint="eastAsia"/>
                <w:sz w:val="24"/>
              </w:rPr>
              <w:t>自治区级</w:t>
            </w:r>
          </w:p>
        </w:tc>
        <w:tc>
          <w:tcPr>
            <w:tcW w:w="633"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67</w:t>
            </w:r>
          </w:p>
        </w:tc>
        <w:tc>
          <w:tcPr>
            <w:tcW w:w="633"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21</w:t>
            </w:r>
          </w:p>
        </w:tc>
        <w:tc>
          <w:tcPr>
            <w:tcW w:w="632"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0</w:t>
            </w:r>
          </w:p>
        </w:tc>
        <w:tc>
          <w:tcPr>
            <w:tcW w:w="1040"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39</w:t>
            </w:r>
          </w:p>
        </w:tc>
        <w:tc>
          <w:tcPr>
            <w:tcW w:w="781"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18</w:t>
            </w:r>
          </w:p>
        </w:tc>
        <w:tc>
          <w:tcPr>
            <w:tcW w:w="711"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1</w:t>
            </w:r>
          </w:p>
        </w:tc>
        <w:tc>
          <w:tcPr>
            <w:tcW w:w="711"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0</w:t>
            </w:r>
          </w:p>
        </w:tc>
        <w:tc>
          <w:tcPr>
            <w:tcW w:w="809"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0</w:t>
            </w:r>
          </w:p>
        </w:tc>
        <w:tc>
          <w:tcPr>
            <w:tcW w:w="902"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0</w:t>
            </w:r>
          </w:p>
        </w:tc>
        <w:tc>
          <w:tcPr>
            <w:tcW w:w="566" w:type="dxa"/>
            <w:tcBorders>
              <w:top w:val="nil"/>
              <w:bottom w:val="nil"/>
            </w:tcBorders>
          </w:tcPr>
          <w:p w:rsidR="00C47CD0" w:rsidRDefault="00081AE9">
            <w:pPr>
              <w:jc w:val="center"/>
              <w:rPr>
                <w:rFonts w:ascii="仿宋_GB2312" w:eastAsia="仿宋_GB2312"/>
                <w:sz w:val="24"/>
              </w:rPr>
            </w:pPr>
            <w:r>
              <w:rPr>
                <w:rFonts w:ascii="仿宋_GB2312" w:eastAsia="仿宋_GB2312"/>
                <w:sz w:val="24"/>
              </w:rPr>
              <w:t>0</w:t>
            </w:r>
          </w:p>
        </w:tc>
      </w:tr>
      <w:tr w:rsidR="00C47CD0">
        <w:tc>
          <w:tcPr>
            <w:tcW w:w="1339" w:type="dxa"/>
            <w:tcBorders>
              <w:top w:val="nil"/>
            </w:tcBorders>
          </w:tcPr>
          <w:p w:rsidR="00C47CD0" w:rsidRDefault="00081AE9">
            <w:pPr>
              <w:jc w:val="center"/>
              <w:rPr>
                <w:rFonts w:ascii="仿宋_GB2312" w:eastAsia="仿宋_GB2312"/>
                <w:sz w:val="24"/>
              </w:rPr>
            </w:pPr>
            <w:r>
              <w:rPr>
                <w:rFonts w:ascii="仿宋_GB2312" w:eastAsia="仿宋_GB2312" w:hint="eastAsia"/>
                <w:sz w:val="24"/>
              </w:rPr>
              <w:t>校级</w:t>
            </w:r>
          </w:p>
        </w:tc>
        <w:tc>
          <w:tcPr>
            <w:tcW w:w="633" w:type="dxa"/>
            <w:tcBorders>
              <w:top w:val="nil"/>
            </w:tcBorders>
          </w:tcPr>
          <w:p w:rsidR="00C47CD0" w:rsidRDefault="00081AE9">
            <w:pPr>
              <w:jc w:val="center"/>
              <w:rPr>
                <w:rFonts w:ascii="仿宋_GB2312" w:eastAsia="仿宋_GB2312"/>
                <w:sz w:val="24"/>
              </w:rPr>
            </w:pPr>
            <w:r>
              <w:rPr>
                <w:rFonts w:ascii="仿宋_GB2312" w:eastAsia="仿宋_GB2312"/>
                <w:sz w:val="24"/>
              </w:rPr>
              <w:t>159</w:t>
            </w:r>
          </w:p>
        </w:tc>
        <w:tc>
          <w:tcPr>
            <w:tcW w:w="633" w:type="dxa"/>
            <w:tcBorders>
              <w:top w:val="nil"/>
            </w:tcBorders>
          </w:tcPr>
          <w:p w:rsidR="00C47CD0" w:rsidRDefault="00081AE9">
            <w:pPr>
              <w:jc w:val="center"/>
              <w:rPr>
                <w:rFonts w:ascii="仿宋_GB2312" w:eastAsia="仿宋_GB2312"/>
                <w:sz w:val="24"/>
              </w:rPr>
            </w:pPr>
            <w:r>
              <w:rPr>
                <w:rFonts w:ascii="仿宋_GB2312" w:eastAsia="仿宋_GB2312"/>
                <w:sz w:val="24"/>
              </w:rPr>
              <w:t>32</w:t>
            </w:r>
          </w:p>
        </w:tc>
        <w:tc>
          <w:tcPr>
            <w:tcW w:w="632" w:type="dxa"/>
            <w:tcBorders>
              <w:top w:val="nil"/>
            </w:tcBorders>
          </w:tcPr>
          <w:p w:rsidR="00C47CD0" w:rsidRDefault="00081AE9">
            <w:pPr>
              <w:jc w:val="center"/>
              <w:rPr>
                <w:rFonts w:ascii="仿宋_GB2312" w:eastAsia="仿宋_GB2312"/>
                <w:sz w:val="24"/>
              </w:rPr>
            </w:pPr>
            <w:r>
              <w:rPr>
                <w:rFonts w:ascii="仿宋_GB2312" w:eastAsia="仿宋_GB2312"/>
                <w:sz w:val="24"/>
              </w:rPr>
              <w:t>11</w:t>
            </w:r>
          </w:p>
        </w:tc>
        <w:tc>
          <w:tcPr>
            <w:tcW w:w="1040" w:type="dxa"/>
            <w:tcBorders>
              <w:top w:val="nil"/>
            </w:tcBorders>
          </w:tcPr>
          <w:p w:rsidR="00C47CD0" w:rsidRDefault="00081AE9">
            <w:pPr>
              <w:jc w:val="center"/>
              <w:rPr>
                <w:rFonts w:ascii="仿宋_GB2312" w:eastAsia="仿宋_GB2312"/>
                <w:sz w:val="24"/>
              </w:rPr>
            </w:pPr>
            <w:r>
              <w:rPr>
                <w:rFonts w:ascii="仿宋_GB2312" w:eastAsia="仿宋_GB2312"/>
                <w:sz w:val="24"/>
              </w:rPr>
              <w:t>42</w:t>
            </w:r>
          </w:p>
        </w:tc>
        <w:tc>
          <w:tcPr>
            <w:tcW w:w="781" w:type="dxa"/>
            <w:tcBorders>
              <w:top w:val="nil"/>
            </w:tcBorders>
          </w:tcPr>
          <w:p w:rsidR="00C47CD0" w:rsidRDefault="00081AE9">
            <w:pPr>
              <w:jc w:val="center"/>
              <w:rPr>
                <w:rFonts w:ascii="仿宋_GB2312" w:eastAsia="仿宋_GB2312"/>
                <w:sz w:val="24"/>
              </w:rPr>
            </w:pPr>
            <w:r>
              <w:rPr>
                <w:rFonts w:ascii="仿宋_GB2312" w:eastAsia="仿宋_GB2312"/>
                <w:sz w:val="24"/>
              </w:rPr>
              <w:t>17</w:t>
            </w:r>
          </w:p>
        </w:tc>
        <w:tc>
          <w:tcPr>
            <w:tcW w:w="711" w:type="dxa"/>
            <w:tcBorders>
              <w:top w:val="nil"/>
            </w:tcBorders>
          </w:tcPr>
          <w:p w:rsidR="00C47CD0" w:rsidRDefault="00081AE9">
            <w:pPr>
              <w:jc w:val="center"/>
              <w:rPr>
                <w:rFonts w:ascii="仿宋_GB2312" w:eastAsia="仿宋_GB2312"/>
                <w:sz w:val="24"/>
              </w:rPr>
            </w:pPr>
            <w:r>
              <w:rPr>
                <w:rFonts w:ascii="仿宋_GB2312" w:eastAsia="仿宋_GB2312"/>
                <w:sz w:val="24"/>
              </w:rPr>
              <w:t>4</w:t>
            </w:r>
          </w:p>
        </w:tc>
        <w:tc>
          <w:tcPr>
            <w:tcW w:w="711" w:type="dxa"/>
            <w:tcBorders>
              <w:top w:val="nil"/>
            </w:tcBorders>
          </w:tcPr>
          <w:p w:rsidR="00C47CD0" w:rsidRDefault="00081AE9">
            <w:pPr>
              <w:jc w:val="center"/>
              <w:rPr>
                <w:rFonts w:ascii="仿宋_GB2312" w:eastAsia="仿宋_GB2312"/>
                <w:sz w:val="24"/>
              </w:rPr>
            </w:pPr>
            <w:r>
              <w:rPr>
                <w:rFonts w:ascii="仿宋_GB2312" w:eastAsia="仿宋_GB2312"/>
                <w:sz w:val="24"/>
              </w:rPr>
              <w:t>14</w:t>
            </w:r>
          </w:p>
        </w:tc>
        <w:tc>
          <w:tcPr>
            <w:tcW w:w="809" w:type="dxa"/>
            <w:tcBorders>
              <w:top w:val="nil"/>
            </w:tcBorders>
          </w:tcPr>
          <w:p w:rsidR="00C47CD0" w:rsidRDefault="00081AE9">
            <w:pPr>
              <w:jc w:val="center"/>
              <w:rPr>
                <w:rFonts w:ascii="仿宋_GB2312" w:eastAsia="仿宋_GB2312"/>
                <w:sz w:val="24"/>
              </w:rPr>
            </w:pPr>
            <w:r>
              <w:rPr>
                <w:rFonts w:ascii="仿宋_GB2312" w:eastAsia="仿宋_GB2312"/>
                <w:sz w:val="24"/>
              </w:rPr>
              <w:t>3</w:t>
            </w:r>
          </w:p>
        </w:tc>
        <w:tc>
          <w:tcPr>
            <w:tcW w:w="902" w:type="dxa"/>
            <w:tcBorders>
              <w:top w:val="nil"/>
            </w:tcBorders>
          </w:tcPr>
          <w:p w:rsidR="00C47CD0" w:rsidRDefault="00081AE9">
            <w:pPr>
              <w:jc w:val="center"/>
              <w:rPr>
                <w:rFonts w:ascii="仿宋_GB2312" w:eastAsia="仿宋_GB2312"/>
                <w:sz w:val="24"/>
              </w:rPr>
            </w:pPr>
            <w:r>
              <w:rPr>
                <w:rFonts w:ascii="仿宋_GB2312" w:eastAsia="仿宋_GB2312"/>
                <w:sz w:val="24"/>
              </w:rPr>
              <w:t>0</w:t>
            </w:r>
          </w:p>
        </w:tc>
        <w:tc>
          <w:tcPr>
            <w:tcW w:w="566" w:type="dxa"/>
            <w:tcBorders>
              <w:top w:val="nil"/>
            </w:tcBorders>
          </w:tcPr>
          <w:p w:rsidR="00C47CD0" w:rsidRDefault="00081AE9">
            <w:pPr>
              <w:jc w:val="center"/>
              <w:rPr>
                <w:rFonts w:ascii="仿宋_GB2312" w:eastAsia="仿宋_GB2312"/>
                <w:sz w:val="24"/>
              </w:rPr>
            </w:pPr>
            <w:r>
              <w:rPr>
                <w:rFonts w:ascii="仿宋_GB2312" w:eastAsia="仿宋_GB2312"/>
                <w:sz w:val="24"/>
              </w:rPr>
              <w:t>0</w:t>
            </w:r>
          </w:p>
        </w:tc>
      </w:tr>
    </w:tbl>
    <w:p w:rsidR="00C47CD0" w:rsidRDefault="00081AE9">
      <w:pPr>
        <w:adjustRightInd w:val="0"/>
        <w:ind w:firstLineChars="200" w:firstLine="640"/>
        <w:rPr>
          <w:rFonts w:ascii="仿宋_GB2312" w:eastAsia="仿宋_GB2312"/>
          <w:b/>
          <w:sz w:val="32"/>
          <w:szCs w:val="32"/>
        </w:rPr>
      </w:pPr>
      <w:r>
        <w:rPr>
          <w:rFonts w:ascii="仿宋_GB2312" w:eastAsia="仿宋_GB2312" w:hint="eastAsia"/>
          <w:sz w:val="32"/>
          <w:szCs w:val="32"/>
        </w:rPr>
        <w:lastRenderedPageBreak/>
        <w:t>我校已结题大学生创新创业训练计划项目，验收结果达到优秀的比例分别为校级</w:t>
      </w:r>
      <w:r>
        <w:rPr>
          <w:rFonts w:ascii="仿宋_GB2312" w:eastAsia="仿宋_GB2312"/>
          <w:sz w:val="32"/>
          <w:szCs w:val="32"/>
        </w:rPr>
        <w:t>20.6%</w:t>
      </w:r>
      <w:r>
        <w:rPr>
          <w:rFonts w:ascii="仿宋_GB2312" w:eastAsia="仿宋_GB2312" w:hint="eastAsia"/>
          <w:sz w:val="32"/>
          <w:szCs w:val="32"/>
        </w:rPr>
        <w:t>；自治区级</w:t>
      </w:r>
      <w:r>
        <w:rPr>
          <w:rFonts w:ascii="仿宋_GB2312" w:eastAsia="仿宋_GB2312"/>
          <w:sz w:val="32"/>
          <w:szCs w:val="32"/>
        </w:rPr>
        <w:t>34%</w:t>
      </w:r>
      <w:r>
        <w:rPr>
          <w:rFonts w:ascii="仿宋_GB2312" w:eastAsia="仿宋_GB2312" w:hint="eastAsia"/>
          <w:sz w:val="32"/>
          <w:szCs w:val="32"/>
        </w:rPr>
        <w:t>；国家级</w:t>
      </w:r>
      <w:r>
        <w:rPr>
          <w:rFonts w:ascii="仿宋_GB2312" w:eastAsia="仿宋_GB2312"/>
          <w:sz w:val="32"/>
          <w:szCs w:val="32"/>
        </w:rPr>
        <w:t>33%</w:t>
      </w:r>
      <w:r>
        <w:rPr>
          <w:rFonts w:ascii="仿宋_GB2312" w:eastAsia="仿宋_GB2312" w:hint="eastAsia"/>
          <w:sz w:val="32"/>
          <w:szCs w:val="32"/>
        </w:rPr>
        <w:t>。目前，我校随着三级大学生创新创业训练计划项目的不断开展，以及科研资金的支持，使得学院的学术气氛高涨，大学生科研热情进一步提升，既提高了大学生的科研能力，也提高了大学生的实践创新能力、科研组织能力、团队合作能力、文献查阅能力和文献写作能力，本科生毕业论文的学术水平不断提高。</w:t>
      </w:r>
    </w:p>
    <w:p w:rsidR="00C47CD0" w:rsidRDefault="00081AE9">
      <w:pPr>
        <w:autoSpaceDE w:val="0"/>
        <w:autoSpaceDN w:val="0"/>
        <w:ind w:firstLineChars="200" w:firstLine="643"/>
        <w:jc w:val="left"/>
        <w:outlineLvl w:val="1"/>
        <w:rPr>
          <w:rFonts w:ascii="仿宋_GB2312" w:eastAsia="仿宋_GB2312"/>
          <w:b/>
          <w:sz w:val="32"/>
          <w:szCs w:val="32"/>
        </w:rPr>
      </w:pPr>
      <w:r>
        <w:rPr>
          <w:rFonts w:ascii="仿宋_GB2312" w:eastAsia="仿宋_GB2312" w:hint="eastAsia"/>
          <w:b/>
          <w:sz w:val="32"/>
          <w:szCs w:val="32"/>
        </w:rPr>
        <w:t>（四）加强和改进少数民族教育教学工作</w:t>
      </w:r>
      <w:bookmarkEnd w:id="93"/>
      <w:bookmarkEnd w:id="94"/>
      <w:bookmarkEnd w:id="95"/>
      <w:bookmarkEnd w:id="96"/>
      <w:bookmarkEnd w:id="97"/>
    </w:p>
    <w:p w:rsidR="00C47CD0" w:rsidRDefault="00081AE9">
      <w:pPr>
        <w:ind w:firstLineChars="200" w:firstLine="640"/>
        <w:rPr>
          <w:rFonts w:ascii="仿宋_GB2312" w:eastAsia="仿宋_GB2312" w:hAnsi="宋体"/>
          <w:sz w:val="32"/>
          <w:szCs w:val="32"/>
        </w:rPr>
      </w:pPr>
      <w:r>
        <w:rPr>
          <w:rFonts w:ascii="仿宋_GB2312" w:eastAsia="仿宋_GB2312" w:hAnsi="宋体" w:hint="eastAsia"/>
          <w:sz w:val="32"/>
          <w:szCs w:val="32"/>
        </w:rPr>
        <w:t>1、实行教学计划外开设民族学生基础英语课程，对民族学生英语教学工作进行改革，为考研民族学生和英语爱好者提供良好地服务。选修该课程，给予相应的奖励学分，该学分可以替换公共选修课和专业选修课中不合格课程学分。</w:t>
      </w:r>
      <w:r>
        <w:rPr>
          <w:rFonts w:ascii="仿宋_GB2312" w:eastAsia="仿宋_GB2312" w:hAnsi="宋体"/>
          <w:sz w:val="32"/>
          <w:szCs w:val="32"/>
        </w:rPr>
        <w:t>2014</w:t>
      </w:r>
      <w:r>
        <w:rPr>
          <w:rFonts w:ascii="仿宋_GB2312" w:eastAsia="仿宋_GB2312" w:hAnsi="宋体" w:hint="eastAsia"/>
          <w:sz w:val="32"/>
          <w:szCs w:val="32"/>
        </w:rPr>
        <w:t>级学生中有407人报名参加学习。</w:t>
      </w:r>
    </w:p>
    <w:p w:rsidR="00C47CD0" w:rsidRDefault="00081AE9">
      <w:pPr>
        <w:ind w:firstLineChars="200" w:firstLine="640"/>
        <w:rPr>
          <w:rFonts w:ascii="仿宋_GB2312" w:eastAsia="仿宋_GB2312" w:hAnsi="宋体"/>
          <w:sz w:val="32"/>
          <w:szCs w:val="32"/>
        </w:rPr>
      </w:pPr>
      <w:r>
        <w:rPr>
          <w:rFonts w:ascii="仿宋_GB2312" w:eastAsia="仿宋_GB2312" w:hAnsi="宋体" w:hint="eastAsia"/>
          <w:sz w:val="32"/>
          <w:szCs w:val="32"/>
        </w:rPr>
        <w:t>通过开设这门课程，为民族学生充分利用双休日，提高教学效果创造了良好的条件，同时可以避免部分民族学生在外参加培训班，受不良思想影响的现象。</w:t>
      </w:r>
    </w:p>
    <w:p w:rsidR="00C47CD0" w:rsidRDefault="00081AE9">
      <w:pPr>
        <w:ind w:firstLineChars="200" w:firstLine="640"/>
        <w:rPr>
          <w:rFonts w:ascii="仿宋_GB2312" w:eastAsia="仿宋_GB2312" w:hAnsi="宋体"/>
          <w:sz w:val="32"/>
          <w:szCs w:val="32"/>
        </w:rPr>
      </w:pPr>
      <w:r>
        <w:rPr>
          <w:rFonts w:ascii="仿宋_GB2312" w:eastAsia="仿宋_GB2312" w:hAnsi="宋体" w:hint="eastAsia"/>
          <w:sz w:val="32"/>
          <w:szCs w:val="32"/>
        </w:rPr>
        <w:t>2、认真落实《关于进一步深化自治区本科高等学校少数民族教育教学改革的若干意见》和《新疆农业大学进一步加强少数民族教育教学工作的若干措施》，进一步完善预科结业考核制度，实行“思想政治和汉语水平双达标”制度。</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3、设立专项推动民族学生参与各类创新活动。在教研</w:t>
      </w:r>
      <w:r>
        <w:rPr>
          <w:rFonts w:ascii="仿宋_GB2312" w:eastAsia="仿宋_GB2312" w:hint="eastAsia"/>
          <w:sz w:val="32"/>
          <w:szCs w:val="32"/>
        </w:rPr>
        <w:lastRenderedPageBreak/>
        <w:t>教改项目中，对以民族学生为对象的专业学科竞赛、教学改革、课程建设等项目予以政策倾斜，鼓励民族学生参与各类创新活动，推动广大师生积极参加少数民族教学的质量提升工作。</w:t>
      </w:r>
    </w:p>
    <w:p w:rsidR="00C47CD0" w:rsidRDefault="00081AE9">
      <w:pPr>
        <w:autoSpaceDE w:val="0"/>
        <w:autoSpaceDN w:val="0"/>
        <w:ind w:firstLineChars="200" w:firstLine="643"/>
        <w:jc w:val="left"/>
        <w:outlineLvl w:val="1"/>
        <w:rPr>
          <w:rFonts w:ascii="仿宋_GB2312" w:eastAsia="仿宋_GB2312"/>
          <w:b/>
          <w:sz w:val="32"/>
          <w:szCs w:val="32"/>
        </w:rPr>
      </w:pPr>
      <w:bookmarkStart w:id="98" w:name="_Toc402443411"/>
      <w:bookmarkStart w:id="99" w:name="_Toc435713888"/>
      <w:bookmarkStart w:id="100" w:name="_Toc435713795"/>
      <w:r>
        <w:rPr>
          <w:rFonts w:ascii="仿宋_GB2312" w:eastAsia="仿宋_GB2312" w:hint="eastAsia"/>
          <w:b/>
          <w:sz w:val="32"/>
          <w:szCs w:val="32"/>
        </w:rPr>
        <w:t>（五）进一步推进实践教学</w:t>
      </w:r>
      <w:bookmarkEnd w:id="98"/>
      <w:bookmarkEnd w:id="99"/>
      <w:bookmarkEnd w:id="100"/>
    </w:p>
    <w:p w:rsidR="00C47CD0" w:rsidRDefault="00081AE9">
      <w:pPr>
        <w:ind w:firstLineChars="196" w:firstLine="627"/>
        <w:rPr>
          <w:rFonts w:ascii="仿宋_GB2312" w:eastAsia="仿宋_GB2312" w:hAnsi="Calibri"/>
          <w:sz w:val="32"/>
          <w:szCs w:val="32"/>
        </w:rPr>
      </w:pPr>
      <w:r>
        <w:rPr>
          <w:rFonts w:ascii="仿宋_GB2312" w:eastAsia="仿宋_GB2312" w:hAnsi="宋体" w:hint="eastAsia"/>
          <w:sz w:val="32"/>
          <w:szCs w:val="32"/>
        </w:rPr>
        <w:t>深入推进实践教学建设与改革，</w:t>
      </w:r>
      <w:r>
        <w:rPr>
          <w:rFonts w:ascii="仿宋_GB2312" w:eastAsia="仿宋_GB2312" w:hAnsi="Calibri" w:hint="eastAsia"/>
          <w:sz w:val="32"/>
          <w:szCs w:val="32"/>
        </w:rPr>
        <w:t>立项建设校级实验室建设与管理项目</w:t>
      </w:r>
      <w:r>
        <w:rPr>
          <w:rFonts w:ascii="仿宋_GB2312" w:eastAsia="仿宋_GB2312" w:hAnsi="Calibri"/>
          <w:sz w:val="32"/>
          <w:szCs w:val="32"/>
        </w:rPr>
        <w:t>59</w:t>
      </w:r>
      <w:r>
        <w:rPr>
          <w:rFonts w:ascii="仿宋_GB2312" w:eastAsia="仿宋_GB2312" w:hAnsi="Calibri" w:hint="eastAsia"/>
          <w:sz w:val="32"/>
          <w:szCs w:val="32"/>
        </w:rPr>
        <w:t>项，支持经费共计</w:t>
      </w:r>
      <w:r>
        <w:rPr>
          <w:rFonts w:ascii="仿宋_GB2312" w:eastAsia="仿宋_GB2312" w:hAnsi="Calibri"/>
          <w:sz w:val="32"/>
          <w:szCs w:val="32"/>
        </w:rPr>
        <w:t>10</w:t>
      </w:r>
      <w:r>
        <w:rPr>
          <w:rFonts w:ascii="仿宋_GB2312" w:eastAsia="仿宋_GB2312" w:hAnsi="Calibri" w:hint="eastAsia"/>
          <w:sz w:val="32"/>
          <w:szCs w:val="32"/>
        </w:rPr>
        <w:t>.</w:t>
      </w:r>
      <w:r>
        <w:rPr>
          <w:rFonts w:ascii="仿宋_GB2312" w:eastAsia="仿宋_GB2312" w:hAnsi="Calibri"/>
          <w:sz w:val="32"/>
          <w:szCs w:val="32"/>
        </w:rPr>
        <w:t>85万</w:t>
      </w:r>
      <w:r>
        <w:rPr>
          <w:rFonts w:ascii="仿宋_GB2312" w:eastAsia="仿宋_GB2312" w:hAnsi="Calibri" w:hint="eastAsia"/>
          <w:sz w:val="32"/>
          <w:szCs w:val="32"/>
        </w:rPr>
        <w:t>元。为推动我校大型仪器设备开放共享工作，充分利用和挖掘大型设备功能，设立大型仪器设备新功能开发项目</w:t>
      </w:r>
      <w:r>
        <w:rPr>
          <w:rFonts w:ascii="仿宋_GB2312" w:eastAsia="仿宋_GB2312" w:hAnsi="Calibri"/>
          <w:sz w:val="32"/>
          <w:szCs w:val="32"/>
        </w:rPr>
        <w:t>18</w:t>
      </w:r>
      <w:r>
        <w:rPr>
          <w:rFonts w:ascii="仿宋_GB2312" w:eastAsia="仿宋_GB2312" w:hAnsi="Calibri" w:hint="eastAsia"/>
          <w:sz w:val="32"/>
          <w:szCs w:val="32"/>
        </w:rPr>
        <w:t>项，支持经费共计</w:t>
      </w:r>
      <w:r>
        <w:rPr>
          <w:rFonts w:ascii="仿宋_GB2312" w:eastAsia="仿宋_GB2312" w:hAnsi="Calibri"/>
          <w:sz w:val="32"/>
          <w:szCs w:val="32"/>
        </w:rPr>
        <w:t>8</w:t>
      </w:r>
      <w:r>
        <w:rPr>
          <w:rFonts w:ascii="仿宋_GB2312" w:eastAsia="仿宋_GB2312" w:hAnsi="Calibri" w:hint="eastAsia"/>
          <w:sz w:val="32"/>
          <w:szCs w:val="32"/>
        </w:rPr>
        <w:t>.</w:t>
      </w:r>
      <w:r>
        <w:rPr>
          <w:rFonts w:ascii="仿宋_GB2312" w:eastAsia="仿宋_GB2312" w:hAnsi="Calibri"/>
          <w:sz w:val="32"/>
          <w:szCs w:val="32"/>
        </w:rPr>
        <w:t>1万</w:t>
      </w:r>
      <w:r>
        <w:rPr>
          <w:rFonts w:ascii="仿宋_GB2312" w:eastAsia="仿宋_GB2312" w:hAnsi="Calibri" w:hint="eastAsia"/>
          <w:sz w:val="32"/>
          <w:szCs w:val="32"/>
        </w:rPr>
        <w:t>元。投入教学科研仪器设备维修经费达</w:t>
      </w:r>
      <w:r>
        <w:rPr>
          <w:rFonts w:ascii="仿宋_GB2312" w:eastAsia="仿宋_GB2312" w:hAnsi="Calibri"/>
          <w:sz w:val="32"/>
          <w:szCs w:val="32"/>
        </w:rPr>
        <w:t>64.9</w:t>
      </w:r>
      <w:r>
        <w:rPr>
          <w:rFonts w:ascii="仿宋_GB2312" w:eastAsia="仿宋_GB2312" w:hAnsi="Calibri" w:hint="eastAsia"/>
          <w:sz w:val="32"/>
          <w:szCs w:val="32"/>
        </w:rPr>
        <w:t>万元，提高了学校仪器设备的完好率和使用率。</w:t>
      </w:r>
    </w:p>
    <w:p w:rsidR="00C47CD0" w:rsidRDefault="00081AE9">
      <w:pPr>
        <w:ind w:firstLineChars="196" w:firstLine="627"/>
        <w:rPr>
          <w:rFonts w:ascii="仿宋_GB2312" w:eastAsia="仿宋_GB2312" w:hAnsi="Calibri"/>
          <w:sz w:val="32"/>
          <w:szCs w:val="32"/>
        </w:rPr>
      </w:pPr>
      <w:r>
        <w:rPr>
          <w:rFonts w:ascii="仿宋_GB2312" w:eastAsia="仿宋_GB2312" w:hAnsi="Calibri" w:hint="eastAsia"/>
          <w:sz w:val="32"/>
          <w:szCs w:val="32"/>
        </w:rPr>
        <w:t>不断加强实验室的管理与建设。 “林果实验教学中心”与“现代农业装备实验教学中心”于</w:t>
      </w:r>
      <w:r>
        <w:rPr>
          <w:rFonts w:ascii="仿宋_GB2312" w:eastAsia="仿宋_GB2312" w:hAnsi="Calibri"/>
          <w:sz w:val="32"/>
          <w:szCs w:val="32"/>
        </w:rPr>
        <w:t>2015</w:t>
      </w:r>
      <w:r>
        <w:rPr>
          <w:rFonts w:ascii="仿宋_GB2312" w:eastAsia="仿宋_GB2312" w:hAnsi="Calibri" w:hint="eastAsia"/>
          <w:sz w:val="32"/>
          <w:szCs w:val="32"/>
        </w:rPr>
        <w:t>年</w:t>
      </w:r>
      <w:r>
        <w:rPr>
          <w:rFonts w:ascii="仿宋_GB2312" w:eastAsia="仿宋_GB2312" w:hAnsi="Calibri"/>
          <w:sz w:val="32"/>
          <w:szCs w:val="32"/>
        </w:rPr>
        <w:t>3</w:t>
      </w:r>
      <w:r>
        <w:rPr>
          <w:rFonts w:ascii="仿宋_GB2312" w:eastAsia="仿宋_GB2312" w:hAnsi="Calibri" w:hint="eastAsia"/>
          <w:sz w:val="32"/>
          <w:szCs w:val="32"/>
        </w:rPr>
        <w:t>月入选第二批“自治区级实验教学示范中心”。</w:t>
      </w:r>
      <w:r>
        <w:rPr>
          <w:rFonts w:ascii="仿宋_GB2312" w:eastAsia="仿宋_GB2312" w:hAnsi="Calibri"/>
          <w:sz w:val="32"/>
          <w:szCs w:val="32"/>
        </w:rPr>
        <w:t>截止201</w:t>
      </w:r>
      <w:r>
        <w:rPr>
          <w:rFonts w:ascii="仿宋_GB2312" w:eastAsia="仿宋_GB2312" w:hAnsi="Calibri" w:hint="eastAsia"/>
          <w:sz w:val="32"/>
          <w:szCs w:val="32"/>
        </w:rPr>
        <w:t>5</w:t>
      </w:r>
      <w:r>
        <w:rPr>
          <w:rFonts w:ascii="仿宋_GB2312" w:eastAsia="仿宋_GB2312" w:hAnsi="Calibri"/>
          <w:sz w:val="32"/>
          <w:szCs w:val="32"/>
        </w:rPr>
        <w:t>年底，学校已建成</w:t>
      </w:r>
      <w:r>
        <w:rPr>
          <w:rFonts w:ascii="仿宋_GB2312" w:eastAsia="仿宋_GB2312" w:hAnsi="Calibri" w:hint="eastAsia"/>
          <w:sz w:val="32"/>
          <w:szCs w:val="32"/>
        </w:rPr>
        <w:t>15</w:t>
      </w:r>
      <w:r>
        <w:rPr>
          <w:rFonts w:ascii="仿宋_GB2312" w:eastAsia="仿宋_GB2312" w:hAnsi="Calibri"/>
          <w:sz w:val="32"/>
          <w:szCs w:val="32"/>
        </w:rPr>
        <w:t>个校级实验教学中心，国家级实验教学示范中心</w:t>
      </w:r>
      <w:r>
        <w:rPr>
          <w:rFonts w:ascii="仿宋_GB2312" w:eastAsia="仿宋_GB2312" w:hAnsi="Calibri" w:hint="eastAsia"/>
          <w:sz w:val="32"/>
          <w:szCs w:val="32"/>
        </w:rPr>
        <w:t>1</w:t>
      </w:r>
      <w:r>
        <w:rPr>
          <w:rFonts w:ascii="仿宋_GB2312" w:eastAsia="仿宋_GB2312" w:hAnsi="Calibri"/>
          <w:sz w:val="32"/>
          <w:szCs w:val="32"/>
        </w:rPr>
        <w:t>个，自治区级实验教学示范中心</w:t>
      </w:r>
      <w:r>
        <w:rPr>
          <w:rFonts w:ascii="仿宋_GB2312" w:eastAsia="仿宋_GB2312" w:hAnsi="Calibri" w:hint="eastAsia"/>
          <w:sz w:val="32"/>
          <w:szCs w:val="32"/>
        </w:rPr>
        <w:t>5</w:t>
      </w:r>
      <w:r>
        <w:rPr>
          <w:rFonts w:ascii="仿宋_GB2312" w:eastAsia="仿宋_GB2312" w:hAnsi="Calibri"/>
          <w:sz w:val="32"/>
          <w:szCs w:val="32"/>
        </w:rPr>
        <w:t>个，自治区级实验教学示范中心（建设单位）</w:t>
      </w:r>
      <w:r>
        <w:rPr>
          <w:rFonts w:ascii="仿宋_GB2312" w:eastAsia="仿宋_GB2312" w:hAnsi="Calibri" w:hint="eastAsia"/>
          <w:sz w:val="32"/>
          <w:szCs w:val="32"/>
        </w:rPr>
        <w:t>2</w:t>
      </w:r>
      <w:r>
        <w:rPr>
          <w:rFonts w:ascii="仿宋_GB2312" w:eastAsia="仿宋_GB2312" w:hAnsi="Calibri"/>
          <w:sz w:val="32"/>
          <w:szCs w:val="32"/>
        </w:rPr>
        <w:t>个。</w:t>
      </w:r>
    </w:p>
    <w:p w:rsidR="00C47CD0" w:rsidRDefault="00081AE9">
      <w:pPr>
        <w:ind w:firstLineChars="196" w:firstLine="627"/>
        <w:rPr>
          <w:rFonts w:ascii="仿宋_GB2312" w:eastAsia="仿宋_GB2312" w:hAnsi="Calibri"/>
          <w:sz w:val="32"/>
          <w:szCs w:val="32"/>
        </w:rPr>
      </w:pPr>
      <w:r>
        <w:rPr>
          <w:rFonts w:ascii="仿宋_GB2312" w:eastAsia="仿宋_GB2312" w:hAnsi="Calibri" w:hint="eastAsia"/>
          <w:sz w:val="32"/>
          <w:szCs w:val="32"/>
        </w:rPr>
        <w:t>通过申报国家级虚拟仿真实验教学中心、设立项实验室建设与管理项目、组织教师参加虚拟仿真实验室建设研讨会，推动虚拟仿真实验室建设工作。开展2014年本科教学实验中心工作绩效评估工作，采集了实验中心的基本状态数据，为学校今后进行实验室规划、实验室建设、设备购置、大型</w:t>
      </w:r>
      <w:r>
        <w:rPr>
          <w:rFonts w:ascii="仿宋_GB2312" w:eastAsia="仿宋_GB2312" w:hAnsi="Calibri" w:hint="eastAsia"/>
          <w:sz w:val="32"/>
          <w:szCs w:val="32"/>
        </w:rPr>
        <w:lastRenderedPageBreak/>
        <w:t>仪器设备开放管理、专职实验人员队伍建设提供了可靠的数据支持。</w:t>
      </w:r>
    </w:p>
    <w:p w:rsidR="00C47CD0" w:rsidRDefault="00081AE9">
      <w:pPr>
        <w:ind w:firstLineChars="196" w:firstLine="627"/>
        <w:rPr>
          <w:rFonts w:ascii="仿宋_GB2312" w:eastAsia="仿宋_GB2312"/>
          <w:sz w:val="32"/>
          <w:szCs w:val="32"/>
        </w:rPr>
      </w:pPr>
      <w:r>
        <w:rPr>
          <w:rFonts w:ascii="仿宋_GB2312" w:eastAsia="仿宋_GB2312" w:hAnsi="Calibri" w:hint="eastAsia"/>
          <w:sz w:val="32"/>
          <w:szCs w:val="32"/>
        </w:rPr>
        <w:t>加大实习基地检查力度。检查林学与园艺学院本科生在三坪基地生产实习情况。检查中语学院在拜城县的校外实践基地检查中语学院维吾尔语言专业大三年级学生在拜城县</w:t>
      </w:r>
      <w:r>
        <w:rPr>
          <w:rFonts w:ascii="仿宋_GB2312" w:eastAsia="仿宋_GB2312" w:hAnsi="Calibri"/>
          <w:sz w:val="32"/>
          <w:szCs w:val="32"/>
        </w:rPr>
        <w:t>12</w:t>
      </w:r>
      <w:r>
        <w:rPr>
          <w:rFonts w:ascii="仿宋_GB2312" w:eastAsia="仿宋_GB2312" w:hAnsi="Calibri" w:hint="eastAsia"/>
          <w:sz w:val="32"/>
          <w:szCs w:val="32"/>
        </w:rPr>
        <w:t>个乡镇的中小学开展实习支教工作。针对“动物科学专业复合应用型人才培养模式改革”项目和“卓越农林人才培养计划</w:t>
      </w:r>
      <w:r>
        <w:rPr>
          <w:rFonts w:ascii="仿宋_GB2312" w:eastAsia="仿宋_GB2312" w:hAnsi="Calibri"/>
          <w:sz w:val="32"/>
          <w:szCs w:val="32"/>
        </w:rPr>
        <w:t>——</w:t>
      </w:r>
      <w:r>
        <w:rPr>
          <w:rFonts w:ascii="仿宋_GB2312" w:eastAsia="仿宋_GB2312" w:hAnsi="Calibri" w:hint="eastAsia"/>
          <w:sz w:val="32"/>
          <w:szCs w:val="32"/>
        </w:rPr>
        <w:t>农业水利工程专业培养模式改革”项目中本科生企业实习阶段工作，对在新疆天康畜牧生物技术股份有限公司实习的学生进行了实习检查。</w:t>
      </w:r>
    </w:p>
    <w:p w:rsidR="00C47CD0" w:rsidRDefault="00081AE9">
      <w:pPr>
        <w:autoSpaceDE w:val="0"/>
        <w:autoSpaceDN w:val="0"/>
        <w:ind w:firstLineChars="200" w:firstLine="643"/>
        <w:jc w:val="left"/>
        <w:outlineLvl w:val="1"/>
        <w:rPr>
          <w:rFonts w:ascii="仿宋_GB2312" w:eastAsia="仿宋_GB2312"/>
          <w:b/>
          <w:sz w:val="32"/>
          <w:szCs w:val="32"/>
        </w:rPr>
      </w:pPr>
      <w:bookmarkStart w:id="101" w:name="_Toc435713796"/>
      <w:bookmarkStart w:id="102" w:name="_Toc435713889"/>
      <w:bookmarkStart w:id="103" w:name="_Toc402443165"/>
      <w:bookmarkStart w:id="104" w:name="_Toc402374114"/>
      <w:bookmarkStart w:id="105" w:name="_Toc402443412"/>
      <w:r>
        <w:rPr>
          <w:rFonts w:ascii="仿宋_GB2312" w:eastAsia="仿宋_GB2312" w:hint="eastAsia"/>
          <w:b/>
          <w:sz w:val="32"/>
          <w:szCs w:val="32"/>
        </w:rPr>
        <w:t>（六）加强制度建设与管理，推进科学管理与指导能力</w:t>
      </w:r>
      <w:bookmarkEnd w:id="101"/>
      <w:bookmarkEnd w:id="102"/>
    </w:p>
    <w:p w:rsidR="00C47CD0" w:rsidRDefault="00081AE9">
      <w:pPr>
        <w:tabs>
          <w:tab w:val="left" w:pos="540"/>
        </w:tabs>
        <w:spacing w:line="360" w:lineRule="auto"/>
        <w:ind w:firstLineChars="200" w:firstLine="640"/>
        <w:rPr>
          <w:rFonts w:ascii="仿宋_GB2312" w:eastAsia="仿宋_GB2312" w:hAnsi="宋体"/>
          <w:sz w:val="32"/>
          <w:szCs w:val="32"/>
        </w:rPr>
      </w:pPr>
      <w:r>
        <w:rPr>
          <w:rFonts w:ascii="仿宋_GB2312" w:eastAsia="仿宋_GB2312" w:hAnsi="宋体" w:hint="eastAsia"/>
          <w:sz w:val="32"/>
          <w:szCs w:val="32"/>
        </w:rPr>
        <w:t>在教学管理服务工作中，严格按照已有的教学管理制度开展教学服务与管理工作，不断总结分析，紧跟教育改革步伐，加强制度建设和管理，为我校教学管理工作和教师发展、人才培养等方面提供明确的政策指引和制度支持，在良好的制度管理环境下推进教学管理和教学服务工作。</w:t>
      </w:r>
    </w:p>
    <w:p w:rsidR="00C47CD0" w:rsidRDefault="00081AE9">
      <w:pPr>
        <w:spacing w:line="360" w:lineRule="auto"/>
        <w:ind w:firstLineChars="200" w:firstLine="640"/>
        <w:jc w:val="left"/>
        <w:rPr>
          <w:rFonts w:ascii="仿宋_GB2312" w:eastAsia="仿宋_GB2312"/>
          <w:sz w:val="32"/>
          <w:szCs w:val="32"/>
        </w:rPr>
      </w:pPr>
      <w:r>
        <w:rPr>
          <w:rFonts w:ascii="仿宋_GB2312" w:eastAsia="仿宋_GB2312" w:hAnsi="宋体" w:hint="eastAsia"/>
          <w:sz w:val="32"/>
          <w:szCs w:val="32"/>
        </w:rPr>
        <w:t>印发《关于重申本科教学有关管理规定的通知》，明晰责权，提高效率，进一步推动本科教学管理的规范化、制度化。修订了《新疆农业大学大学生创新创业训练计划项目管理办法》旨在强调培养学生实践能力、创新精神、创业意识，提升科学素养和综合素质，进一步规范大学生创新创业训练计划研究项目执行与管理，提升项目效果。</w:t>
      </w:r>
      <w:r>
        <w:rPr>
          <w:rFonts w:ascii="仿宋_GB2312" w:eastAsia="仿宋_GB2312" w:hint="eastAsia"/>
          <w:sz w:val="32"/>
          <w:szCs w:val="32"/>
        </w:rPr>
        <w:t>为进一步提高学</w:t>
      </w:r>
      <w:r>
        <w:rPr>
          <w:rFonts w:ascii="仿宋_GB2312" w:eastAsia="仿宋_GB2312" w:hint="eastAsia"/>
          <w:sz w:val="32"/>
          <w:szCs w:val="32"/>
        </w:rPr>
        <w:lastRenderedPageBreak/>
        <w:t>生学习效果，规范考试管理工作，出台《关于调整重考管理工作的决定》，改进重考工作，以考促学。</w:t>
      </w:r>
    </w:p>
    <w:p w:rsidR="00C47CD0" w:rsidRDefault="00081AE9">
      <w:pPr>
        <w:autoSpaceDE w:val="0"/>
        <w:autoSpaceDN w:val="0"/>
        <w:ind w:firstLineChars="200" w:firstLine="643"/>
        <w:jc w:val="left"/>
        <w:outlineLvl w:val="1"/>
        <w:rPr>
          <w:rFonts w:ascii="仿宋_GB2312" w:eastAsia="仿宋_GB2312"/>
          <w:b/>
          <w:sz w:val="32"/>
          <w:szCs w:val="32"/>
        </w:rPr>
      </w:pPr>
      <w:bookmarkStart w:id="106" w:name="_Toc435713890"/>
      <w:bookmarkStart w:id="107" w:name="_Toc435713797"/>
      <w:r>
        <w:rPr>
          <w:rFonts w:ascii="仿宋_GB2312" w:eastAsia="仿宋_GB2312" w:hint="eastAsia"/>
          <w:b/>
          <w:sz w:val="32"/>
          <w:szCs w:val="32"/>
        </w:rPr>
        <w:t>（七）开展教学研究，促进教学</w:t>
      </w:r>
      <w:bookmarkEnd w:id="103"/>
      <w:bookmarkEnd w:id="104"/>
      <w:bookmarkEnd w:id="105"/>
      <w:r>
        <w:rPr>
          <w:rFonts w:ascii="仿宋_GB2312" w:eastAsia="仿宋_GB2312" w:hint="eastAsia"/>
          <w:b/>
          <w:sz w:val="32"/>
          <w:szCs w:val="32"/>
        </w:rPr>
        <w:t>改革</w:t>
      </w:r>
      <w:bookmarkEnd w:id="106"/>
      <w:bookmarkEnd w:id="107"/>
    </w:p>
    <w:p w:rsidR="00C47CD0" w:rsidRDefault="00081AE9">
      <w:pPr>
        <w:spacing w:line="560" w:lineRule="exact"/>
        <w:ind w:firstLineChars="228" w:firstLine="730"/>
        <w:rPr>
          <w:rFonts w:ascii="仿宋_GB2312" w:eastAsia="仿宋_GB2312"/>
          <w:sz w:val="32"/>
          <w:szCs w:val="32"/>
        </w:rPr>
      </w:pPr>
      <w:r>
        <w:rPr>
          <w:rFonts w:ascii="仿宋_GB2312" w:eastAsia="仿宋_GB2312" w:hAnsi="宋体" w:hint="eastAsia"/>
          <w:sz w:val="32"/>
          <w:szCs w:val="32"/>
        </w:rPr>
        <w:t>加大综合性教学改革项目支持力度，鼓励教研室集体项目，强化民族教学改革项目的引导，以校级教研教改申报和验收为重要抓手，推动广大教师思考教学理念、实践教学改革。2015年全校教师共申报教研教改项目243项。学校组织了由53位专家组成的评审委员会，分14组对各类项目进行审查和评定，最后确定设立109项教研教改项目。包括：援疆干部教学改革项目10项，综合教改项目9项、授课形式改革试点项目8项、新办专业核心课程建设项目10项、新疆特色案例库建设项目6项、实验标本资源采集与图片汇集项目5项、专业基础课程试题库建设与共享项目9项、学科竞赛设计与建设项目5项、专业兴趣小组设计与建设项目7项、紧缺人才专业建设成效研究项目2项、教学基层组织建设项目3项、网络课程中心平台建设试点项目10项、优秀教学研究论文项目10项，其他项目25项，考核时段改革试点项目、实训型公选课项目验收后确认立项。同时，验收到期教研教改项目122项，其中106项通过验收。</w:t>
      </w:r>
    </w:p>
    <w:p w:rsidR="00C47CD0" w:rsidRDefault="00081AE9">
      <w:pPr>
        <w:pStyle w:val="1"/>
        <w:jc w:val="center"/>
      </w:pPr>
      <w:r>
        <w:rPr>
          <w:rFonts w:ascii="仿宋_GB2312" w:eastAsia="仿宋_GB2312"/>
          <w:sz w:val="32"/>
          <w:szCs w:val="32"/>
        </w:rPr>
        <w:br w:type="page"/>
      </w:r>
      <w:bookmarkStart w:id="108" w:name="_Toc435713892"/>
      <w:bookmarkStart w:id="109" w:name="_Toc435713799"/>
      <w:r>
        <w:rPr>
          <w:rFonts w:hint="eastAsia"/>
        </w:rPr>
        <w:lastRenderedPageBreak/>
        <w:t>五、质量保障体系</w:t>
      </w:r>
      <w:bookmarkEnd w:id="108"/>
      <w:bookmarkEnd w:id="109"/>
    </w:p>
    <w:p w:rsidR="00C47CD0" w:rsidRDefault="00C47CD0">
      <w:pPr>
        <w:spacing w:line="560" w:lineRule="exact"/>
        <w:ind w:firstLineChars="200" w:firstLine="640"/>
        <w:rPr>
          <w:rFonts w:ascii="仿宋_GB2312" w:eastAsia="仿宋_GB2312" w:hAnsi="宋体"/>
          <w:sz w:val="32"/>
          <w:szCs w:val="32"/>
        </w:rPr>
      </w:pPr>
    </w:p>
    <w:p w:rsidR="00C47CD0" w:rsidRDefault="00081AE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我校初定于</w:t>
      </w:r>
      <w:r>
        <w:rPr>
          <w:rFonts w:ascii="仿宋_GB2312" w:eastAsia="仿宋_GB2312" w:hAnsi="宋体"/>
          <w:sz w:val="32"/>
          <w:szCs w:val="32"/>
        </w:rPr>
        <w:t>2018</w:t>
      </w:r>
      <w:r>
        <w:rPr>
          <w:rFonts w:ascii="仿宋_GB2312" w:eastAsia="仿宋_GB2312" w:hAnsi="宋体" w:hint="eastAsia"/>
          <w:sz w:val="32"/>
          <w:szCs w:val="32"/>
        </w:rPr>
        <w:t>年</w:t>
      </w:r>
      <w:r>
        <w:rPr>
          <w:rFonts w:ascii="仿宋_GB2312" w:eastAsia="仿宋_GB2312" w:hAnsi="宋体"/>
          <w:sz w:val="32"/>
          <w:szCs w:val="32"/>
        </w:rPr>
        <w:t>5</w:t>
      </w:r>
      <w:r>
        <w:rPr>
          <w:rFonts w:ascii="仿宋_GB2312" w:eastAsia="仿宋_GB2312" w:hAnsi="宋体" w:hint="eastAsia"/>
          <w:sz w:val="32"/>
          <w:szCs w:val="32"/>
        </w:rPr>
        <w:t>月份接受教育部教学工作审核评估。审核评估核心是对学校人才培养目标与培养效果的实现状况进行评价。为达到“以评促建、以评促改、以评促管、评建结合、重在建设”的目的，教务处积极应对，已正式启动本科教学工作审核评估准备工作。</w:t>
      </w:r>
    </w:p>
    <w:p w:rsidR="00C47CD0" w:rsidRDefault="00081AE9">
      <w:pPr>
        <w:spacing w:line="560" w:lineRule="exact"/>
        <w:ind w:firstLineChars="200" w:firstLine="640"/>
        <w:rPr>
          <w:rFonts w:ascii="仿宋_GB2312" w:eastAsia="仿宋_GB2312"/>
          <w:color w:val="FF0000"/>
          <w:sz w:val="32"/>
          <w:szCs w:val="32"/>
        </w:rPr>
      </w:pPr>
      <w:r>
        <w:rPr>
          <w:rFonts w:ascii="仿宋_GB2312" w:eastAsia="仿宋_GB2312" w:hAnsi="宋体" w:hint="eastAsia"/>
          <w:sz w:val="32"/>
          <w:szCs w:val="32"/>
        </w:rPr>
        <w:t>从管理与建设两方面入手，完善本科教学质量保障体系。健全校内教学质量评估机制，端正教风、学风，加强和改进教学检查，进一步规范教学</w:t>
      </w:r>
      <w:r>
        <w:rPr>
          <w:rFonts w:ascii="仿宋_GB2312" w:eastAsia="仿宋_GB2312" w:hint="eastAsia"/>
          <w:sz w:val="32"/>
          <w:szCs w:val="32"/>
        </w:rPr>
        <w:t>行为</w:t>
      </w:r>
      <w:r>
        <w:rPr>
          <w:rFonts w:ascii="仿宋_GB2312" w:eastAsia="仿宋_GB2312" w:hAnsi="宋体" w:hint="eastAsia"/>
          <w:sz w:val="32"/>
          <w:szCs w:val="32"/>
        </w:rPr>
        <w:t>。激励各教学单位更加重视教学工作，发挥各教学单位在本科教学建设、教学改革和教学管理中的主体作用。</w:t>
      </w:r>
    </w:p>
    <w:p w:rsidR="00C47CD0" w:rsidRDefault="00081AE9">
      <w:pPr>
        <w:autoSpaceDE w:val="0"/>
        <w:autoSpaceDN w:val="0"/>
        <w:ind w:firstLineChars="200" w:firstLine="643"/>
        <w:jc w:val="left"/>
        <w:outlineLvl w:val="1"/>
        <w:rPr>
          <w:rFonts w:ascii="仿宋_GB2312" w:eastAsia="仿宋_GB2312"/>
          <w:b/>
          <w:sz w:val="32"/>
          <w:szCs w:val="32"/>
        </w:rPr>
      </w:pPr>
      <w:r>
        <w:rPr>
          <w:rFonts w:ascii="仿宋_GB2312" w:eastAsia="仿宋_GB2312"/>
          <w:b/>
          <w:sz w:val="32"/>
          <w:szCs w:val="32"/>
        </w:rPr>
        <w:br w:type="page"/>
      </w:r>
      <w:bookmarkStart w:id="110" w:name="_Toc402374116"/>
      <w:bookmarkStart w:id="111" w:name="_Toc402443167"/>
      <w:bookmarkStart w:id="112" w:name="_Toc402443414"/>
      <w:bookmarkStart w:id="113" w:name="_Toc435713800"/>
      <w:bookmarkStart w:id="114" w:name="_Toc435713893"/>
      <w:r>
        <w:rPr>
          <w:rFonts w:ascii="仿宋_GB2312" w:eastAsia="仿宋_GB2312" w:hint="eastAsia"/>
          <w:b/>
          <w:sz w:val="32"/>
          <w:szCs w:val="32"/>
        </w:rPr>
        <w:lastRenderedPageBreak/>
        <w:t>（一）教学质量保障体系建设及质量监控</w:t>
      </w:r>
      <w:bookmarkEnd w:id="110"/>
      <w:bookmarkEnd w:id="111"/>
      <w:bookmarkEnd w:id="112"/>
      <w:bookmarkEnd w:id="113"/>
      <w:bookmarkEnd w:id="114"/>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第五次教学工作会议，对我校迎接和接受教育部本科教学工作审核评估工作做了全校动员和部署，传达了教育部审核评估的指导思想及总体要求、审核评估范围及重点、审核评估程序与任务，明确了我校迎接审核评估的目标任务，对做好的各项工作做了整体安排。教务处对照评估要求，细化具体方案，在征询多方意见后正式颁布印发《新疆农业大学审核评估工作方案》，编制各单位部门《审核评估工作任务分解》，起草各教学单位任务职责表。评建工作开端良好，有序推进。</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拟定《关于重申本科教学管理规定的通知》，筹备召开学校本科教学管理专题会议。“通知”梳理和重申了有关人才培养方案、本科教学评估、考试和学籍管理等方面的若干重要管理规定。会议要求各教学单位以深化教育教学改革，优化人才培养模式，提高人才培养质量为主线，认真学习、正确理解、切实贯彻执行学校关于本科教学的一系列管理规定；全校一盘棋，维护制度的严肃性，增强执行制度的自觉性，实施科学管理，注重沟通协调，提高管理效率和水平。</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修订了《新疆农业大学大学生创新创业训练计划项目管理办法》旨在强调培养学生实践能力、创新精神、创业意识，提升科学素养和综合素质，进一步规范大学生创新创业训练计划研究项目执行与管理，提升项目效果。</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lastRenderedPageBreak/>
        <w:t>为进一步提高学生学习效果，规范考试管理工作，出台《关于调整重考管理工作的决定》，改进重考工作，取消了期末安排重考制度，将重考统一安排在每学期6-8周，重考安排要在时间、地点上相对集中，以考促学。</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完善《新疆农业大学教学单位本科教学工作考核方案》，坚持开展教学单位本科教学年度考核。将教学工作考核与教学单位年终考核结合，激励各教学单位更加重视教学工作，发挥各教学单位在本科教学建设、改革、管理及教风学风建设中的主体作用。</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坚持教学质量保障与监控，促进作风、教风、学风建设工作常态化。教学质量的督导和检查，继续坚持既全面覆盖、全程覆盖，又突出重点人群、重要时间节点、重点环节和薄弱环节的工作方式，张弛有度，宽严相济。督导强化导的功能，检查注重正面导向。督导专家深入教学一线，完成了全年的听课、实习基地检查、试卷档案的检查以及毕业论文（设计）选题-中期检查-毕业答辩-毕业论文（设计）质量专项检查的全程跟踪等常态化工作，比较全面的掌握了学校教学状况，共发布通报13次，鼓励好的教学方法和经验，同时启动约谈帮扶，为保证和提高教学质量和教学质量监控保障体系的建设提供了有力支撑。</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实行校、院二级教学检查、听课制度，严把教学质量关。全面推进教师教学效果评价工作。依据《新疆农业大学教师</w:t>
      </w:r>
      <w:r>
        <w:rPr>
          <w:rFonts w:ascii="仿宋_GB2312" w:eastAsia="仿宋_GB2312" w:hint="eastAsia"/>
          <w:sz w:val="32"/>
          <w:szCs w:val="32"/>
        </w:rPr>
        <w:lastRenderedPageBreak/>
        <w:t>教学效果评价指导意见》，各教学单位制定教师教学效果评价实施细则，对教师进行评价并在教务处备案，教务处全面建立教师教学效果评价档案，评价结果与职称晋升、评优评先、教学任务安排及培训提高挂钩。</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为进一步推动教风学风建设，组织完今年每学期全校学生网上评教工作，教务处对评价结果进行统计分析并发布通报，对于评价结果前15%的教师发放评教优秀荣誉证书予以表彰。</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在原有学生评教的基础上，不断完善教学质量监控体系，制定了评学实施方案，制定并完善教师评学、督导评学的评价标准，已完成评学系统模块的架构和基础数据的导入，基本完成系统调试工作，本学期进入试运行阶段。</w:t>
      </w:r>
    </w:p>
    <w:p w:rsidR="00C47CD0" w:rsidRDefault="00081AE9">
      <w:pPr>
        <w:adjustRightInd w:val="0"/>
        <w:ind w:firstLineChars="200" w:firstLine="640"/>
        <w:rPr>
          <w:rFonts w:ascii="仿宋_GB2312" w:eastAsia="仿宋_GB2312"/>
          <w:sz w:val="32"/>
          <w:szCs w:val="32"/>
        </w:rPr>
      </w:pPr>
      <w:r>
        <w:rPr>
          <w:rFonts w:ascii="仿宋_GB2312" w:eastAsia="仿宋_GB2312" w:hint="eastAsia"/>
          <w:sz w:val="32"/>
          <w:szCs w:val="32"/>
        </w:rPr>
        <w:t>开展毕业论文（设计）选题-中期检查-毕业答辩-毕业论文（设计）质量专项检查，论文（设计）进行网络防抄袭检测，确保了毕业论文（设计）的质量。</w:t>
      </w:r>
    </w:p>
    <w:p w:rsidR="00C47CD0" w:rsidRDefault="00081AE9">
      <w:pPr>
        <w:autoSpaceDE w:val="0"/>
        <w:autoSpaceDN w:val="0"/>
        <w:ind w:firstLineChars="200" w:firstLine="643"/>
        <w:jc w:val="left"/>
        <w:outlineLvl w:val="1"/>
        <w:rPr>
          <w:rFonts w:ascii="仿宋_GB2312" w:eastAsia="仿宋_GB2312"/>
          <w:b/>
          <w:sz w:val="32"/>
          <w:szCs w:val="32"/>
        </w:rPr>
      </w:pPr>
      <w:bookmarkStart w:id="115" w:name="_Toc402374117"/>
      <w:bookmarkStart w:id="116" w:name="_Toc402443168"/>
      <w:bookmarkStart w:id="117" w:name="_Toc402443415"/>
      <w:bookmarkStart w:id="118" w:name="_Toc435713801"/>
      <w:bookmarkStart w:id="119" w:name="_Toc435713894"/>
      <w:r>
        <w:rPr>
          <w:rFonts w:ascii="仿宋_GB2312" w:eastAsia="仿宋_GB2312" w:hint="eastAsia"/>
          <w:b/>
          <w:sz w:val="32"/>
          <w:szCs w:val="32"/>
        </w:rPr>
        <w:t>（二）本科教学基本状态</w:t>
      </w:r>
      <w:bookmarkEnd w:id="115"/>
      <w:bookmarkEnd w:id="116"/>
      <w:bookmarkEnd w:id="117"/>
      <w:bookmarkEnd w:id="118"/>
      <w:bookmarkEnd w:id="119"/>
    </w:p>
    <w:p w:rsidR="00C47CD0" w:rsidRDefault="00081AE9">
      <w:pPr>
        <w:ind w:firstLineChars="200" w:firstLine="640"/>
        <w:outlineLvl w:val="2"/>
        <w:rPr>
          <w:rFonts w:ascii="仿宋_GB2312" w:eastAsia="仿宋_GB2312"/>
          <w:sz w:val="32"/>
          <w:szCs w:val="32"/>
        </w:rPr>
      </w:pPr>
      <w:bookmarkStart w:id="120" w:name="_Toc435713802"/>
      <w:bookmarkStart w:id="121" w:name="_Toc435713895"/>
      <w:r>
        <w:rPr>
          <w:rFonts w:ascii="仿宋_GB2312" w:eastAsia="仿宋_GB2312" w:hint="eastAsia"/>
          <w:sz w:val="32"/>
          <w:szCs w:val="32"/>
        </w:rPr>
        <w:t>1、201</w:t>
      </w:r>
      <w:r>
        <w:rPr>
          <w:rFonts w:ascii="仿宋_GB2312" w:eastAsia="仿宋_GB2312"/>
          <w:sz w:val="32"/>
          <w:szCs w:val="32"/>
        </w:rPr>
        <w:t>5</w:t>
      </w:r>
      <w:r>
        <w:rPr>
          <w:rFonts w:ascii="仿宋_GB2312" w:eastAsia="仿宋_GB2312" w:hint="eastAsia"/>
          <w:sz w:val="32"/>
          <w:szCs w:val="32"/>
        </w:rPr>
        <w:t>年本科课程开设情况</w:t>
      </w:r>
      <w:bookmarkEnd w:id="120"/>
      <w:bookmarkEnd w:id="121"/>
    </w:p>
    <w:p w:rsidR="00C47CD0" w:rsidRDefault="00081AE9" w:rsidP="00516A87">
      <w:pPr>
        <w:ind w:firstLineChars="200" w:firstLine="640"/>
        <w:rPr>
          <w:rFonts w:ascii="宋体" w:hAnsi="宋体"/>
          <w:sz w:val="24"/>
        </w:rPr>
      </w:pP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年，有</w:t>
      </w:r>
      <w:r>
        <w:rPr>
          <w:rFonts w:ascii="仿宋_GB2312" w:eastAsia="仿宋_GB2312"/>
          <w:sz w:val="32"/>
          <w:szCs w:val="32"/>
        </w:rPr>
        <w:t>972</w:t>
      </w:r>
      <w:r>
        <w:rPr>
          <w:rFonts w:ascii="仿宋_GB2312" w:eastAsia="仿宋_GB2312" w:hint="eastAsia"/>
          <w:sz w:val="32"/>
          <w:szCs w:val="32"/>
        </w:rPr>
        <w:t>位教师为本科生上课，共开出课程</w:t>
      </w:r>
      <w:r>
        <w:rPr>
          <w:rFonts w:ascii="仿宋_GB2312" w:eastAsia="仿宋_GB2312"/>
          <w:sz w:val="32"/>
          <w:szCs w:val="32"/>
        </w:rPr>
        <w:t>2306</w:t>
      </w:r>
      <w:r>
        <w:rPr>
          <w:rFonts w:ascii="仿宋_GB2312" w:eastAsia="仿宋_GB2312" w:hint="eastAsia"/>
          <w:sz w:val="32"/>
          <w:szCs w:val="32"/>
        </w:rPr>
        <w:t>门次，合计310744学时。教师人均授课3</w:t>
      </w:r>
      <w:r>
        <w:rPr>
          <w:rFonts w:ascii="仿宋_GB2312" w:eastAsia="仿宋_GB2312"/>
          <w:sz w:val="32"/>
          <w:szCs w:val="32"/>
        </w:rPr>
        <w:t>24</w:t>
      </w:r>
      <w:r>
        <w:rPr>
          <w:rFonts w:ascii="仿宋_GB2312" w:eastAsia="仿宋_GB2312" w:hint="eastAsia"/>
          <w:sz w:val="32"/>
          <w:szCs w:val="32"/>
        </w:rPr>
        <w:t xml:space="preserve">学时，教授为本科生开课率达到97.8%。详见表9。 </w:t>
      </w:r>
    </w:p>
    <w:p w:rsidR="00C47CD0" w:rsidRDefault="00081AE9">
      <w:pPr>
        <w:jc w:val="center"/>
        <w:rPr>
          <w:rFonts w:ascii="仿宋_GB2312" w:eastAsia="仿宋_GB2312"/>
          <w:sz w:val="24"/>
        </w:rPr>
      </w:pPr>
      <w:r>
        <w:rPr>
          <w:rFonts w:ascii="宋体" w:hAnsi="宋体" w:hint="eastAsia"/>
          <w:sz w:val="24"/>
        </w:rPr>
        <w:t>表9</w:t>
      </w:r>
      <w:r>
        <w:rPr>
          <w:rFonts w:ascii="仿宋_GB2312" w:eastAsia="仿宋_GB2312" w:hint="eastAsia"/>
          <w:sz w:val="24"/>
        </w:rPr>
        <w:t xml:space="preserve">   </w:t>
      </w:r>
      <w:r>
        <w:rPr>
          <w:rFonts w:ascii="宋体" w:hAnsi="宋体" w:hint="eastAsia"/>
          <w:b/>
          <w:sz w:val="24"/>
        </w:rPr>
        <w:t xml:space="preserve"> </w:t>
      </w:r>
      <w:r>
        <w:rPr>
          <w:rFonts w:ascii="宋体" w:hAnsi="宋体" w:hint="eastAsia"/>
          <w:b/>
          <w:sz w:val="28"/>
          <w:szCs w:val="28"/>
        </w:rPr>
        <w:t xml:space="preserve"> 201</w:t>
      </w:r>
      <w:r>
        <w:rPr>
          <w:rFonts w:ascii="宋体" w:hAnsi="宋体"/>
          <w:b/>
          <w:sz w:val="28"/>
          <w:szCs w:val="28"/>
        </w:rPr>
        <w:t>5</w:t>
      </w:r>
      <w:r>
        <w:rPr>
          <w:rFonts w:ascii="宋体" w:hAnsi="宋体" w:hint="eastAsia"/>
          <w:b/>
          <w:sz w:val="28"/>
          <w:szCs w:val="28"/>
        </w:rPr>
        <w:t>年本科课程开设情况</w:t>
      </w:r>
    </w:p>
    <w:tbl>
      <w:tblPr>
        <w:tblW w:w="8758" w:type="dxa"/>
        <w:tblBorders>
          <w:top w:val="single" w:sz="4" w:space="0" w:color="auto"/>
          <w:bottom w:val="single" w:sz="4" w:space="0" w:color="auto"/>
        </w:tblBorders>
        <w:tblLayout w:type="fixed"/>
        <w:tblLook w:val="04A0" w:firstRow="1" w:lastRow="0" w:firstColumn="1" w:lastColumn="0" w:noHBand="0" w:noVBand="1"/>
      </w:tblPr>
      <w:tblGrid>
        <w:gridCol w:w="801"/>
        <w:gridCol w:w="1266"/>
        <w:gridCol w:w="1164"/>
        <w:gridCol w:w="1127"/>
        <w:gridCol w:w="1058"/>
        <w:gridCol w:w="1410"/>
        <w:gridCol w:w="1932"/>
      </w:tblGrid>
      <w:tr w:rsidR="00C47CD0">
        <w:trPr>
          <w:trHeight w:val="540"/>
          <w:tblHeader/>
        </w:trPr>
        <w:tc>
          <w:tcPr>
            <w:tcW w:w="801"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kern w:val="0"/>
                <w:szCs w:val="21"/>
              </w:rPr>
            </w:pPr>
            <w:r>
              <w:rPr>
                <w:rFonts w:ascii="宋体" w:hAnsi="宋体" w:cs="宋体" w:hint="eastAsia"/>
                <w:b/>
                <w:kern w:val="0"/>
                <w:szCs w:val="21"/>
              </w:rPr>
              <w:t>序号</w:t>
            </w:r>
          </w:p>
        </w:tc>
        <w:tc>
          <w:tcPr>
            <w:tcW w:w="1266" w:type="dxa"/>
            <w:tcBorders>
              <w:top w:val="single" w:sz="4" w:space="0" w:color="auto"/>
              <w:bottom w:val="single" w:sz="4" w:space="0" w:color="auto"/>
            </w:tcBorders>
            <w:shd w:val="clear" w:color="auto" w:fill="auto"/>
            <w:vAlign w:val="center"/>
          </w:tcPr>
          <w:p w:rsidR="00C47CD0" w:rsidRDefault="00081AE9">
            <w:pPr>
              <w:widowControl/>
              <w:jc w:val="left"/>
              <w:rPr>
                <w:rFonts w:ascii="宋体" w:hAnsi="宋体" w:cs="宋体"/>
                <w:b/>
                <w:kern w:val="0"/>
                <w:szCs w:val="21"/>
              </w:rPr>
            </w:pPr>
            <w:r>
              <w:rPr>
                <w:rFonts w:ascii="宋体" w:hAnsi="宋体" w:cs="宋体" w:hint="eastAsia"/>
                <w:b/>
                <w:kern w:val="0"/>
                <w:szCs w:val="21"/>
              </w:rPr>
              <w:t>单位名称</w:t>
            </w:r>
          </w:p>
        </w:tc>
        <w:tc>
          <w:tcPr>
            <w:tcW w:w="1164"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kern w:val="0"/>
                <w:szCs w:val="21"/>
              </w:rPr>
            </w:pPr>
            <w:r>
              <w:rPr>
                <w:rFonts w:ascii="宋体" w:hAnsi="宋体" w:cs="宋体" w:hint="eastAsia"/>
                <w:b/>
                <w:kern w:val="0"/>
                <w:szCs w:val="21"/>
              </w:rPr>
              <w:t>课程开</w:t>
            </w:r>
          </w:p>
          <w:p w:rsidR="00C47CD0" w:rsidRDefault="00081AE9">
            <w:pPr>
              <w:widowControl/>
              <w:jc w:val="center"/>
              <w:rPr>
                <w:rFonts w:ascii="宋体" w:hAnsi="宋体" w:cs="宋体"/>
                <w:b/>
                <w:kern w:val="0"/>
                <w:szCs w:val="21"/>
              </w:rPr>
            </w:pPr>
            <w:r>
              <w:rPr>
                <w:rFonts w:ascii="宋体" w:hAnsi="宋体" w:cs="宋体" w:hint="eastAsia"/>
                <w:b/>
                <w:kern w:val="0"/>
                <w:szCs w:val="21"/>
              </w:rPr>
              <w:t>设数量</w:t>
            </w:r>
          </w:p>
        </w:tc>
        <w:tc>
          <w:tcPr>
            <w:tcW w:w="1127"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kern w:val="0"/>
                <w:szCs w:val="21"/>
              </w:rPr>
            </w:pPr>
            <w:r>
              <w:rPr>
                <w:rFonts w:ascii="宋体" w:hAnsi="宋体" w:cs="宋体" w:hint="eastAsia"/>
                <w:b/>
                <w:kern w:val="0"/>
                <w:szCs w:val="21"/>
              </w:rPr>
              <w:t>开课教</w:t>
            </w:r>
          </w:p>
          <w:p w:rsidR="00C47CD0" w:rsidRDefault="00081AE9">
            <w:pPr>
              <w:widowControl/>
              <w:jc w:val="center"/>
              <w:rPr>
                <w:rFonts w:ascii="宋体" w:hAnsi="宋体" w:cs="宋体"/>
                <w:b/>
                <w:kern w:val="0"/>
                <w:szCs w:val="21"/>
              </w:rPr>
            </w:pPr>
            <w:r>
              <w:rPr>
                <w:rFonts w:ascii="宋体" w:hAnsi="宋体" w:cs="宋体" w:hint="eastAsia"/>
                <w:b/>
                <w:kern w:val="0"/>
                <w:szCs w:val="21"/>
              </w:rPr>
              <w:t>师人数</w:t>
            </w:r>
          </w:p>
        </w:tc>
        <w:tc>
          <w:tcPr>
            <w:tcW w:w="1058"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kern w:val="0"/>
                <w:szCs w:val="21"/>
              </w:rPr>
            </w:pPr>
            <w:r>
              <w:rPr>
                <w:rFonts w:ascii="宋体" w:hAnsi="宋体" w:cs="宋体" w:hint="eastAsia"/>
                <w:b/>
                <w:kern w:val="0"/>
                <w:szCs w:val="21"/>
              </w:rPr>
              <w:t>总学</w:t>
            </w:r>
          </w:p>
          <w:p w:rsidR="00C47CD0" w:rsidRDefault="00081AE9">
            <w:pPr>
              <w:widowControl/>
              <w:jc w:val="center"/>
              <w:rPr>
                <w:rFonts w:ascii="宋体" w:hAnsi="宋体" w:cs="宋体"/>
                <w:b/>
                <w:kern w:val="0"/>
                <w:szCs w:val="21"/>
              </w:rPr>
            </w:pPr>
            <w:r>
              <w:rPr>
                <w:rFonts w:ascii="宋体" w:hAnsi="宋体" w:cs="宋体" w:hint="eastAsia"/>
                <w:b/>
                <w:kern w:val="0"/>
                <w:szCs w:val="21"/>
              </w:rPr>
              <w:t>时数</w:t>
            </w:r>
          </w:p>
        </w:tc>
        <w:tc>
          <w:tcPr>
            <w:tcW w:w="1410"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kern w:val="0"/>
                <w:szCs w:val="21"/>
              </w:rPr>
            </w:pPr>
            <w:r>
              <w:rPr>
                <w:rFonts w:ascii="宋体" w:hAnsi="宋体" w:cs="宋体" w:hint="eastAsia"/>
                <w:b/>
                <w:kern w:val="0"/>
                <w:szCs w:val="21"/>
              </w:rPr>
              <w:t>教师人均</w:t>
            </w:r>
          </w:p>
          <w:p w:rsidR="00C47CD0" w:rsidRDefault="00081AE9">
            <w:pPr>
              <w:widowControl/>
              <w:jc w:val="center"/>
              <w:rPr>
                <w:rFonts w:ascii="宋体" w:hAnsi="宋体" w:cs="宋体"/>
                <w:b/>
                <w:kern w:val="0"/>
                <w:szCs w:val="21"/>
              </w:rPr>
            </w:pPr>
            <w:r>
              <w:rPr>
                <w:rFonts w:ascii="宋体" w:hAnsi="宋体" w:cs="宋体" w:hint="eastAsia"/>
                <w:b/>
                <w:kern w:val="0"/>
                <w:szCs w:val="21"/>
              </w:rPr>
              <w:t>学时数</w:t>
            </w:r>
          </w:p>
        </w:tc>
        <w:tc>
          <w:tcPr>
            <w:tcW w:w="1932" w:type="dxa"/>
            <w:tcBorders>
              <w:top w:val="single" w:sz="4" w:space="0" w:color="auto"/>
              <w:bottom w:val="single" w:sz="4" w:space="0" w:color="auto"/>
            </w:tcBorders>
            <w:shd w:val="clear" w:color="auto" w:fill="auto"/>
            <w:vAlign w:val="center"/>
          </w:tcPr>
          <w:p w:rsidR="00C47CD0" w:rsidRDefault="00081AE9">
            <w:pPr>
              <w:widowControl/>
              <w:jc w:val="center"/>
              <w:rPr>
                <w:rFonts w:ascii="宋体" w:hAnsi="宋体" w:cs="宋体"/>
                <w:b/>
                <w:kern w:val="0"/>
                <w:szCs w:val="21"/>
              </w:rPr>
            </w:pPr>
            <w:r>
              <w:rPr>
                <w:rFonts w:ascii="宋体" w:hAnsi="宋体" w:cs="宋体" w:hint="eastAsia"/>
                <w:b/>
                <w:kern w:val="0"/>
                <w:szCs w:val="21"/>
              </w:rPr>
              <w:t>教授为本科生</w:t>
            </w:r>
          </w:p>
          <w:p w:rsidR="00C47CD0" w:rsidRDefault="00081AE9">
            <w:pPr>
              <w:widowControl/>
              <w:jc w:val="center"/>
              <w:rPr>
                <w:rFonts w:ascii="宋体" w:hAnsi="宋体" w:cs="宋体"/>
                <w:b/>
                <w:kern w:val="0"/>
                <w:szCs w:val="21"/>
              </w:rPr>
            </w:pPr>
            <w:r>
              <w:rPr>
                <w:rFonts w:ascii="宋体" w:hAnsi="宋体" w:cs="宋体" w:hint="eastAsia"/>
                <w:b/>
                <w:kern w:val="0"/>
                <w:szCs w:val="21"/>
              </w:rPr>
              <w:t>开课率（%）</w:t>
            </w:r>
          </w:p>
        </w:tc>
      </w:tr>
      <w:tr w:rsidR="00C47CD0">
        <w:trPr>
          <w:trHeight w:val="270"/>
        </w:trPr>
        <w:tc>
          <w:tcPr>
            <w:tcW w:w="801" w:type="dxa"/>
            <w:tcBorders>
              <w:top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lastRenderedPageBreak/>
              <w:t>1</w:t>
            </w:r>
          </w:p>
        </w:tc>
        <w:tc>
          <w:tcPr>
            <w:tcW w:w="1266" w:type="dxa"/>
            <w:tcBorders>
              <w:top w:val="single" w:sz="4" w:space="0" w:color="auto"/>
            </w:tcBorders>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草环学院</w:t>
            </w:r>
          </w:p>
        </w:tc>
        <w:tc>
          <w:tcPr>
            <w:tcW w:w="1164" w:type="dxa"/>
            <w:tcBorders>
              <w:top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189</w:t>
            </w:r>
          </w:p>
        </w:tc>
        <w:tc>
          <w:tcPr>
            <w:tcW w:w="1127" w:type="dxa"/>
            <w:tcBorders>
              <w:top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79</w:t>
            </w:r>
          </w:p>
        </w:tc>
        <w:tc>
          <w:tcPr>
            <w:tcW w:w="1058" w:type="dxa"/>
            <w:tcBorders>
              <w:top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17506</w:t>
            </w:r>
          </w:p>
        </w:tc>
        <w:tc>
          <w:tcPr>
            <w:tcW w:w="1410" w:type="dxa"/>
            <w:tcBorders>
              <w:top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221.6</w:t>
            </w:r>
          </w:p>
        </w:tc>
        <w:tc>
          <w:tcPr>
            <w:tcW w:w="1932" w:type="dxa"/>
            <w:tcBorders>
              <w:top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87</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动科学院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60</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39</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10734</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275.2</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动医学院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85</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40</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14394</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359.9</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4</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管理学院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212</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85</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15495</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182.3</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5</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国际学院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64</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33</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7276</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220.5</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化工学院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83</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30</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9958</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331.9</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机交学院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298</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66</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23751</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359.9</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计算机学院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102</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64</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30792</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481.1</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经贸学院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223</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61</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21069</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345.4</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林园学院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231</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71</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22757.5</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320.5</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11</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农学院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159</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70</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26108</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373.0</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12</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食药学院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120</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47</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10210</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217.2</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13</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数理学院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62</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38</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17751.5</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467.1</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14</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水利学院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180</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78</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17938</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230.0</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89</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15</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思政部</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32</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8518</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266.2</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16</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外语学院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77</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54</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19697.5</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364.8</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17</w:t>
            </w:r>
          </w:p>
        </w:tc>
        <w:tc>
          <w:tcPr>
            <w:tcW w:w="1266" w:type="dxa"/>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中语学院</w:t>
            </w:r>
          </w:p>
        </w:tc>
        <w:tc>
          <w:tcPr>
            <w:tcW w:w="1164"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117</w:t>
            </w:r>
          </w:p>
        </w:tc>
        <w:tc>
          <w:tcPr>
            <w:tcW w:w="1127"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57</w:t>
            </w:r>
          </w:p>
        </w:tc>
        <w:tc>
          <w:tcPr>
            <w:tcW w:w="1058"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27129</w:t>
            </w:r>
          </w:p>
        </w:tc>
        <w:tc>
          <w:tcPr>
            <w:tcW w:w="1410"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475.9</w:t>
            </w:r>
          </w:p>
        </w:tc>
        <w:tc>
          <w:tcPr>
            <w:tcW w:w="1932" w:type="dxa"/>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100</w:t>
            </w:r>
          </w:p>
        </w:tc>
      </w:tr>
      <w:tr w:rsidR="00C47CD0">
        <w:trPr>
          <w:trHeight w:val="270"/>
        </w:trPr>
        <w:tc>
          <w:tcPr>
            <w:tcW w:w="801" w:type="dxa"/>
            <w:tcBorders>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18</w:t>
            </w:r>
          </w:p>
        </w:tc>
        <w:tc>
          <w:tcPr>
            <w:tcW w:w="1266" w:type="dxa"/>
            <w:tcBorders>
              <w:bottom w:val="single" w:sz="4" w:space="0" w:color="auto"/>
            </w:tcBorders>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体育部</w:t>
            </w:r>
          </w:p>
        </w:tc>
        <w:tc>
          <w:tcPr>
            <w:tcW w:w="1164" w:type="dxa"/>
            <w:tcBorders>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35</w:t>
            </w:r>
          </w:p>
        </w:tc>
        <w:tc>
          <w:tcPr>
            <w:tcW w:w="1127" w:type="dxa"/>
            <w:tcBorders>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28</w:t>
            </w:r>
          </w:p>
        </w:tc>
        <w:tc>
          <w:tcPr>
            <w:tcW w:w="1058" w:type="dxa"/>
            <w:tcBorders>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9660</w:t>
            </w:r>
          </w:p>
        </w:tc>
        <w:tc>
          <w:tcPr>
            <w:tcW w:w="1410" w:type="dxa"/>
            <w:tcBorders>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345.0</w:t>
            </w:r>
          </w:p>
        </w:tc>
        <w:tc>
          <w:tcPr>
            <w:tcW w:w="1932" w:type="dxa"/>
            <w:tcBorders>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w:t>
            </w:r>
          </w:p>
        </w:tc>
      </w:tr>
      <w:tr w:rsidR="00C47CD0">
        <w:trPr>
          <w:trHeight w:val="270"/>
        </w:trPr>
        <w:tc>
          <w:tcPr>
            <w:tcW w:w="801" w:type="dxa"/>
            <w:tcBorders>
              <w:top w:val="single" w:sz="4" w:space="0" w:color="auto"/>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19</w:t>
            </w:r>
          </w:p>
        </w:tc>
        <w:tc>
          <w:tcPr>
            <w:tcW w:w="1266" w:type="dxa"/>
            <w:tcBorders>
              <w:top w:val="single" w:sz="4" w:space="0" w:color="auto"/>
              <w:bottom w:val="single" w:sz="4" w:space="0" w:color="auto"/>
            </w:tcBorders>
            <w:shd w:val="clear" w:color="auto" w:fill="auto"/>
            <w:vAlign w:val="center"/>
          </w:tcPr>
          <w:p w:rsidR="00C47CD0" w:rsidRDefault="00081AE9">
            <w:pPr>
              <w:widowControl/>
              <w:spacing w:line="360" w:lineRule="auto"/>
              <w:jc w:val="left"/>
              <w:rPr>
                <w:rFonts w:ascii="宋体" w:hAnsi="宋体" w:cs="宋体"/>
                <w:kern w:val="0"/>
                <w:szCs w:val="21"/>
              </w:rPr>
            </w:pPr>
            <w:r>
              <w:rPr>
                <w:rFonts w:ascii="宋体" w:hAnsi="宋体" w:cs="宋体" w:hint="eastAsia"/>
                <w:kern w:val="0"/>
                <w:szCs w:val="21"/>
              </w:rPr>
              <w:t>合计</w:t>
            </w:r>
          </w:p>
        </w:tc>
        <w:tc>
          <w:tcPr>
            <w:tcW w:w="1164" w:type="dxa"/>
            <w:tcBorders>
              <w:top w:val="single" w:sz="4" w:space="0" w:color="auto"/>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2306</w:t>
            </w:r>
          </w:p>
        </w:tc>
        <w:tc>
          <w:tcPr>
            <w:tcW w:w="1127" w:type="dxa"/>
            <w:tcBorders>
              <w:top w:val="single" w:sz="4" w:space="0" w:color="auto"/>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972</w:t>
            </w:r>
          </w:p>
        </w:tc>
        <w:tc>
          <w:tcPr>
            <w:tcW w:w="1058" w:type="dxa"/>
            <w:tcBorders>
              <w:top w:val="single" w:sz="4" w:space="0" w:color="auto"/>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310744.5</w:t>
            </w:r>
          </w:p>
        </w:tc>
        <w:tc>
          <w:tcPr>
            <w:tcW w:w="1410" w:type="dxa"/>
            <w:tcBorders>
              <w:top w:val="single" w:sz="4" w:space="0" w:color="auto"/>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324</w:t>
            </w:r>
          </w:p>
        </w:tc>
        <w:tc>
          <w:tcPr>
            <w:tcW w:w="1932" w:type="dxa"/>
            <w:tcBorders>
              <w:top w:val="single" w:sz="4" w:space="0" w:color="auto"/>
              <w:bottom w:val="single" w:sz="4" w:space="0" w:color="auto"/>
            </w:tcBorders>
            <w:shd w:val="clear" w:color="auto" w:fill="auto"/>
            <w:vAlign w:val="center"/>
          </w:tcPr>
          <w:p w:rsidR="00C47CD0" w:rsidRDefault="00081AE9">
            <w:pPr>
              <w:widowControl/>
              <w:spacing w:line="360" w:lineRule="auto"/>
              <w:jc w:val="center"/>
              <w:rPr>
                <w:rFonts w:ascii="宋体" w:hAnsi="宋体" w:cs="宋体"/>
                <w:kern w:val="0"/>
                <w:szCs w:val="21"/>
              </w:rPr>
            </w:pPr>
            <w:r>
              <w:rPr>
                <w:rFonts w:ascii="宋体" w:hAnsi="宋体" w:cs="宋体" w:hint="eastAsia"/>
                <w:kern w:val="0"/>
                <w:szCs w:val="21"/>
              </w:rPr>
              <w:t>97.8</w:t>
            </w:r>
          </w:p>
        </w:tc>
      </w:tr>
    </w:tbl>
    <w:p w:rsidR="00C47CD0" w:rsidRDefault="00C47CD0">
      <w:pPr>
        <w:jc w:val="center"/>
        <w:rPr>
          <w:color w:val="000000"/>
          <w:sz w:val="22"/>
          <w:szCs w:val="22"/>
        </w:rPr>
      </w:pPr>
    </w:p>
    <w:p w:rsidR="00C47CD0" w:rsidRDefault="00081AE9">
      <w:pPr>
        <w:ind w:firstLineChars="200" w:firstLine="640"/>
        <w:outlineLvl w:val="2"/>
        <w:rPr>
          <w:rFonts w:ascii="仿宋_GB2312" w:eastAsia="仿宋_GB2312"/>
          <w:sz w:val="32"/>
          <w:szCs w:val="32"/>
        </w:rPr>
      </w:pPr>
      <w:bookmarkStart w:id="122" w:name="_Toc435713804"/>
      <w:bookmarkStart w:id="123" w:name="_Toc435713897"/>
      <w:r>
        <w:rPr>
          <w:rFonts w:ascii="仿宋_GB2312" w:eastAsia="仿宋_GB2312" w:hint="eastAsia"/>
          <w:sz w:val="32"/>
          <w:szCs w:val="32"/>
        </w:rPr>
        <w:t>2、2015年</w:t>
      </w:r>
      <w:r>
        <w:rPr>
          <w:rFonts w:ascii="仿宋_GB2312" w:eastAsia="仿宋_GB2312"/>
          <w:sz w:val="32"/>
          <w:szCs w:val="32"/>
        </w:rPr>
        <w:t>本科</w:t>
      </w:r>
      <w:r>
        <w:rPr>
          <w:rFonts w:ascii="仿宋_GB2312" w:eastAsia="仿宋_GB2312" w:hint="eastAsia"/>
          <w:sz w:val="32"/>
          <w:szCs w:val="32"/>
        </w:rPr>
        <w:t>课程</w:t>
      </w:r>
      <w:r>
        <w:rPr>
          <w:rFonts w:ascii="仿宋_GB2312" w:eastAsia="仿宋_GB2312"/>
          <w:sz w:val="32"/>
          <w:szCs w:val="32"/>
        </w:rPr>
        <w:t>考试</w:t>
      </w:r>
      <w:r>
        <w:rPr>
          <w:rFonts w:ascii="仿宋_GB2312" w:eastAsia="仿宋_GB2312" w:hint="eastAsia"/>
          <w:sz w:val="32"/>
          <w:szCs w:val="32"/>
        </w:rPr>
        <w:t>情况</w:t>
      </w:r>
    </w:p>
    <w:p w:rsidR="00C47CD0" w:rsidRDefault="00081AE9" w:rsidP="00516A87">
      <w:pPr>
        <w:ind w:firstLineChars="200" w:firstLine="640"/>
        <w:outlineLvl w:val="2"/>
        <w:rPr>
          <w:rFonts w:ascii="宋体" w:hAnsi="宋体"/>
          <w:sz w:val="24"/>
        </w:rPr>
      </w:pPr>
      <w:r>
        <w:rPr>
          <w:rFonts w:ascii="仿宋_GB2312" w:eastAsia="仿宋_GB2312" w:hint="eastAsia"/>
          <w:sz w:val="32"/>
          <w:szCs w:val="32"/>
        </w:rPr>
        <w:t>本科</w:t>
      </w:r>
      <w:r>
        <w:rPr>
          <w:rFonts w:ascii="仿宋_GB2312" w:eastAsia="仿宋_GB2312"/>
          <w:sz w:val="32"/>
          <w:szCs w:val="32"/>
        </w:rPr>
        <w:t>生中</w:t>
      </w:r>
      <w:r>
        <w:rPr>
          <w:rFonts w:ascii="仿宋_GB2312" w:eastAsia="仿宋_GB2312" w:hint="eastAsia"/>
          <w:sz w:val="32"/>
          <w:szCs w:val="32"/>
        </w:rPr>
        <w:t>有249638人次</w:t>
      </w:r>
      <w:r>
        <w:rPr>
          <w:rFonts w:ascii="仿宋_GB2312" w:eastAsia="仿宋_GB2312"/>
          <w:sz w:val="32"/>
          <w:szCs w:val="32"/>
        </w:rPr>
        <w:t>参加课程考试，其中及格人次为</w:t>
      </w:r>
      <w:r>
        <w:rPr>
          <w:rFonts w:ascii="仿宋_GB2312" w:eastAsia="仿宋_GB2312" w:hint="eastAsia"/>
          <w:sz w:val="32"/>
          <w:szCs w:val="32"/>
        </w:rPr>
        <w:t>236602，</w:t>
      </w:r>
      <w:r>
        <w:rPr>
          <w:rFonts w:ascii="仿宋_GB2312" w:eastAsia="仿宋_GB2312"/>
          <w:sz w:val="32"/>
          <w:szCs w:val="32"/>
        </w:rPr>
        <w:t>不及格人次为</w:t>
      </w:r>
      <w:r>
        <w:rPr>
          <w:rFonts w:ascii="仿宋_GB2312" w:eastAsia="仿宋_GB2312" w:hint="eastAsia"/>
          <w:sz w:val="32"/>
          <w:szCs w:val="32"/>
        </w:rPr>
        <w:t>13036，</w:t>
      </w:r>
      <w:r>
        <w:rPr>
          <w:rFonts w:ascii="仿宋_GB2312" w:eastAsia="仿宋_GB2312"/>
          <w:sz w:val="32"/>
          <w:szCs w:val="32"/>
        </w:rPr>
        <w:t>不及格率为</w:t>
      </w:r>
      <w:r>
        <w:rPr>
          <w:rFonts w:ascii="仿宋_GB2312" w:eastAsia="仿宋_GB2312" w:hint="eastAsia"/>
          <w:sz w:val="32"/>
          <w:szCs w:val="32"/>
        </w:rPr>
        <w:t>5.22</w:t>
      </w:r>
      <w:r>
        <w:rPr>
          <w:rFonts w:ascii="仿宋_GB2312" w:eastAsia="仿宋_GB2312"/>
          <w:sz w:val="32"/>
          <w:szCs w:val="32"/>
        </w:rPr>
        <w:t>%，详见表10</w:t>
      </w:r>
      <w:r>
        <w:rPr>
          <w:rFonts w:ascii="仿宋_GB2312" w:eastAsia="仿宋_GB2312" w:hint="eastAsia"/>
          <w:sz w:val="32"/>
          <w:szCs w:val="32"/>
        </w:rPr>
        <w:t>。</w:t>
      </w:r>
    </w:p>
    <w:p w:rsidR="00C47CD0" w:rsidRDefault="00081AE9">
      <w:pPr>
        <w:jc w:val="center"/>
        <w:rPr>
          <w:rFonts w:ascii="宋体" w:hAnsi="宋体"/>
          <w:b/>
          <w:sz w:val="28"/>
          <w:szCs w:val="28"/>
        </w:rPr>
      </w:pPr>
      <w:r>
        <w:rPr>
          <w:rFonts w:ascii="宋体" w:hAnsi="宋体" w:hint="eastAsia"/>
          <w:sz w:val="24"/>
        </w:rPr>
        <w:t>表10</w:t>
      </w:r>
      <w:r>
        <w:rPr>
          <w:rFonts w:ascii="宋体" w:hAnsi="宋体" w:hint="eastAsia"/>
          <w:b/>
          <w:sz w:val="24"/>
        </w:rPr>
        <w:t xml:space="preserve">    </w:t>
      </w:r>
      <w:r>
        <w:rPr>
          <w:rFonts w:ascii="宋体" w:hAnsi="宋体" w:hint="eastAsia"/>
          <w:b/>
          <w:sz w:val="28"/>
          <w:szCs w:val="28"/>
        </w:rPr>
        <w:t>201</w:t>
      </w:r>
      <w:r>
        <w:rPr>
          <w:rFonts w:ascii="宋体" w:hAnsi="宋体"/>
          <w:b/>
          <w:sz w:val="28"/>
          <w:szCs w:val="28"/>
        </w:rPr>
        <w:t>5</w:t>
      </w:r>
      <w:r>
        <w:rPr>
          <w:rFonts w:ascii="宋体" w:hAnsi="宋体" w:hint="eastAsia"/>
          <w:b/>
          <w:sz w:val="28"/>
          <w:szCs w:val="28"/>
        </w:rPr>
        <w:t>年本科课程考试情况</w:t>
      </w:r>
    </w:p>
    <w:tbl>
      <w:tblPr>
        <w:tblW w:w="8732" w:type="dxa"/>
        <w:tblBorders>
          <w:top w:val="single" w:sz="4" w:space="0" w:color="auto"/>
          <w:bottom w:val="single" w:sz="4" w:space="0" w:color="auto"/>
        </w:tblBorders>
        <w:tblLayout w:type="fixed"/>
        <w:tblLook w:val="04A0" w:firstRow="1" w:lastRow="0" w:firstColumn="1" w:lastColumn="0" w:noHBand="0" w:noVBand="1"/>
      </w:tblPr>
      <w:tblGrid>
        <w:gridCol w:w="814"/>
        <w:gridCol w:w="1413"/>
        <w:gridCol w:w="1589"/>
        <w:gridCol w:w="1977"/>
        <w:gridCol w:w="1423"/>
        <w:gridCol w:w="1516"/>
      </w:tblGrid>
      <w:tr w:rsidR="00C47CD0">
        <w:trPr>
          <w:trHeight w:val="610"/>
          <w:tblHeader/>
        </w:trPr>
        <w:tc>
          <w:tcPr>
            <w:tcW w:w="814" w:type="dxa"/>
            <w:tcBorders>
              <w:top w:val="single" w:sz="4" w:space="0" w:color="auto"/>
              <w:left w:val="nil"/>
              <w:bottom w:val="single" w:sz="4" w:space="0" w:color="auto"/>
              <w:right w:val="nil"/>
            </w:tcBorders>
            <w:vAlign w:val="center"/>
          </w:tcPr>
          <w:p w:rsidR="00C47CD0" w:rsidRDefault="00081AE9">
            <w:pPr>
              <w:widowControl/>
              <w:spacing w:line="270" w:lineRule="exact"/>
              <w:jc w:val="center"/>
              <w:rPr>
                <w:rFonts w:ascii="宋体" w:hAnsi="宋体" w:cs="宋体"/>
                <w:b/>
                <w:kern w:val="0"/>
                <w:szCs w:val="21"/>
              </w:rPr>
            </w:pPr>
            <w:r>
              <w:rPr>
                <w:rFonts w:ascii="宋体" w:hAnsi="宋体" w:cs="宋体" w:hint="eastAsia"/>
                <w:b/>
                <w:kern w:val="0"/>
                <w:szCs w:val="21"/>
              </w:rPr>
              <w:t>序号</w:t>
            </w:r>
          </w:p>
        </w:tc>
        <w:tc>
          <w:tcPr>
            <w:tcW w:w="1413" w:type="dxa"/>
            <w:tcBorders>
              <w:top w:val="single" w:sz="4" w:space="0" w:color="auto"/>
              <w:left w:val="nil"/>
              <w:bottom w:val="single" w:sz="4" w:space="0" w:color="auto"/>
              <w:right w:val="nil"/>
            </w:tcBorders>
            <w:vAlign w:val="center"/>
          </w:tcPr>
          <w:p w:rsidR="00C47CD0" w:rsidRDefault="00081AE9">
            <w:pPr>
              <w:spacing w:line="270" w:lineRule="exact"/>
              <w:ind w:firstLineChars="49" w:firstLine="103"/>
              <w:jc w:val="center"/>
              <w:rPr>
                <w:rFonts w:ascii="宋体" w:hAnsi="宋体" w:cs="宋体"/>
                <w:b/>
                <w:szCs w:val="21"/>
              </w:rPr>
            </w:pPr>
            <w:r>
              <w:rPr>
                <w:rFonts w:hint="eastAsia"/>
                <w:b/>
                <w:szCs w:val="21"/>
              </w:rPr>
              <w:t>单位名称</w:t>
            </w:r>
          </w:p>
        </w:tc>
        <w:tc>
          <w:tcPr>
            <w:tcW w:w="1589" w:type="dxa"/>
            <w:tcBorders>
              <w:top w:val="single" w:sz="4" w:space="0" w:color="auto"/>
              <w:left w:val="nil"/>
              <w:bottom w:val="single" w:sz="4" w:space="0" w:color="auto"/>
              <w:right w:val="nil"/>
            </w:tcBorders>
            <w:vAlign w:val="center"/>
          </w:tcPr>
          <w:p w:rsidR="00C47CD0" w:rsidRDefault="00081AE9">
            <w:pPr>
              <w:widowControl/>
              <w:spacing w:line="270" w:lineRule="exact"/>
              <w:ind w:right="105"/>
              <w:jc w:val="center"/>
              <w:rPr>
                <w:rFonts w:ascii="宋体" w:hAnsi="宋体" w:cs="宋体"/>
                <w:b/>
                <w:kern w:val="0"/>
                <w:szCs w:val="21"/>
              </w:rPr>
            </w:pPr>
            <w:r>
              <w:rPr>
                <w:rFonts w:ascii="宋体" w:hAnsi="宋体" w:cs="宋体" w:hint="eastAsia"/>
                <w:b/>
                <w:kern w:val="0"/>
                <w:szCs w:val="21"/>
              </w:rPr>
              <w:t>考试及格人次</w:t>
            </w:r>
          </w:p>
        </w:tc>
        <w:tc>
          <w:tcPr>
            <w:tcW w:w="1977" w:type="dxa"/>
            <w:tcBorders>
              <w:top w:val="single" w:sz="4" w:space="0" w:color="auto"/>
              <w:left w:val="nil"/>
              <w:bottom w:val="single" w:sz="4" w:space="0" w:color="auto"/>
              <w:right w:val="nil"/>
            </w:tcBorders>
            <w:vAlign w:val="center"/>
          </w:tcPr>
          <w:p w:rsidR="00C47CD0" w:rsidRDefault="00081AE9">
            <w:pPr>
              <w:widowControl/>
              <w:spacing w:line="270" w:lineRule="exact"/>
              <w:ind w:right="105"/>
              <w:jc w:val="center"/>
              <w:rPr>
                <w:rFonts w:ascii="宋体" w:hAnsi="宋体" w:cs="宋体"/>
                <w:b/>
                <w:kern w:val="0"/>
                <w:szCs w:val="21"/>
              </w:rPr>
            </w:pPr>
            <w:r>
              <w:rPr>
                <w:rFonts w:ascii="宋体" w:hAnsi="宋体" w:cs="宋体" w:hint="eastAsia"/>
                <w:b/>
                <w:kern w:val="0"/>
                <w:szCs w:val="21"/>
              </w:rPr>
              <w:t>考试不及格人次</w:t>
            </w:r>
          </w:p>
        </w:tc>
        <w:tc>
          <w:tcPr>
            <w:tcW w:w="1423" w:type="dxa"/>
            <w:tcBorders>
              <w:top w:val="single" w:sz="4" w:space="0" w:color="auto"/>
              <w:left w:val="nil"/>
              <w:bottom w:val="single" w:sz="4" w:space="0" w:color="auto"/>
              <w:right w:val="nil"/>
            </w:tcBorders>
            <w:vAlign w:val="center"/>
          </w:tcPr>
          <w:p w:rsidR="00C47CD0" w:rsidRDefault="00081AE9">
            <w:pPr>
              <w:widowControl/>
              <w:spacing w:line="270" w:lineRule="exact"/>
              <w:jc w:val="center"/>
              <w:rPr>
                <w:rFonts w:ascii="宋体" w:hAnsi="宋体" w:cs="宋体"/>
                <w:b/>
                <w:kern w:val="0"/>
                <w:szCs w:val="21"/>
              </w:rPr>
            </w:pPr>
            <w:r>
              <w:rPr>
                <w:rFonts w:ascii="宋体" w:hAnsi="宋体" w:cs="宋体" w:hint="eastAsia"/>
                <w:b/>
                <w:kern w:val="0"/>
                <w:szCs w:val="21"/>
              </w:rPr>
              <w:t>考试总人次</w:t>
            </w:r>
          </w:p>
        </w:tc>
        <w:tc>
          <w:tcPr>
            <w:tcW w:w="1516" w:type="dxa"/>
            <w:tcBorders>
              <w:top w:val="single" w:sz="4" w:space="0" w:color="auto"/>
              <w:left w:val="nil"/>
              <w:bottom w:val="single" w:sz="4" w:space="0" w:color="auto"/>
              <w:right w:val="nil"/>
            </w:tcBorders>
            <w:vAlign w:val="center"/>
          </w:tcPr>
          <w:p w:rsidR="00C47CD0" w:rsidRDefault="00081AE9">
            <w:pPr>
              <w:widowControl/>
              <w:spacing w:line="270" w:lineRule="exact"/>
              <w:ind w:right="105"/>
              <w:jc w:val="center"/>
              <w:rPr>
                <w:rFonts w:ascii="宋体" w:hAnsi="宋体" w:cs="宋体"/>
                <w:b/>
                <w:kern w:val="0"/>
                <w:szCs w:val="21"/>
              </w:rPr>
            </w:pPr>
            <w:r>
              <w:rPr>
                <w:rFonts w:ascii="宋体" w:hAnsi="宋体" w:cs="宋体" w:hint="eastAsia"/>
                <w:b/>
                <w:kern w:val="0"/>
                <w:szCs w:val="21"/>
              </w:rPr>
              <w:t>不及格率（%）</w:t>
            </w:r>
          </w:p>
        </w:tc>
      </w:tr>
      <w:tr w:rsidR="00C47CD0">
        <w:trPr>
          <w:trHeight w:val="480"/>
        </w:trPr>
        <w:tc>
          <w:tcPr>
            <w:tcW w:w="814" w:type="dxa"/>
            <w:tcBorders>
              <w:top w:val="single" w:sz="4" w:space="0" w:color="auto"/>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lastRenderedPageBreak/>
              <w:t>1</w:t>
            </w:r>
          </w:p>
        </w:tc>
        <w:tc>
          <w:tcPr>
            <w:tcW w:w="1413" w:type="dxa"/>
            <w:tcBorders>
              <w:top w:val="single" w:sz="4" w:space="0" w:color="auto"/>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农学院</w:t>
            </w:r>
          </w:p>
        </w:tc>
        <w:tc>
          <w:tcPr>
            <w:tcW w:w="1589" w:type="dxa"/>
            <w:tcBorders>
              <w:top w:val="single" w:sz="4" w:space="0" w:color="auto"/>
              <w:left w:val="nil"/>
              <w:bottom w:val="nil"/>
              <w:right w:val="nil"/>
            </w:tcBorders>
            <w:vAlign w:val="center"/>
          </w:tcPr>
          <w:p w:rsidR="00C47CD0" w:rsidRDefault="00081AE9">
            <w:pPr>
              <w:jc w:val="center"/>
              <w:rPr>
                <w:color w:val="000000"/>
                <w:sz w:val="22"/>
                <w:szCs w:val="22"/>
              </w:rPr>
            </w:pPr>
            <w:r>
              <w:rPr>
                <w:color w:val="000000"/>
                <w:sz w:val="22"/>
                <w:szCs w:val="22"/>
              </w:rPr>
              <w:t>19995</w:t>
            </w:r>
          </w:p>
        </w:tc>
        <w:tc>
          <w:tcPr>
            <w:tcW w:w="1977" w:type="dxa"/>
            <w:tcBorders>
              <w:top w:val="single" w:sz="4" w:space="0" w:color="auto"/>
              <w:left w:val="nil"/>
              <w:bottom w:val="nil"/>
              <w:right w:val="nil"/>
            </w:tcBorders>
            <w:vAlign w:val="center"/>
          </w:tcPr>
          <w:p w:rsidR="00C47CD0" w:rsidRDefault="00081AE9">
            <w:pPr>
              <w:jc w:val="center"/>
              <w:rPr>
                <w:color w:val="000000"/>
                <w:sz w:val="22"/>
                <w:szCs w:val="22"/>
              </w:rPr>
            </w:pPr>
            <w:r>
              <w:rPr>
                <w:color w:val="000000"/>
                <w:sz w:val="22"/>
                <w:szCs w:val="22"/>
              </w:rPr>
              <w:t>870</w:t>
            </w:r>
          </w:p>
        </w:tc>
        <w:tc>
          <w:tcPr>
            <w:tcW w:w="1423" w:type="dxa"/>
            <w:tcBorders>
              <w:top w:val="single" w:sz="4" w:space="0" w:color="auto"/>
              <w:left w:val="nil"/>
              <w:bottom w:val="nil"/>
              <w:right w:val="nil"/>
            </w:tcBorders>
            <w:vAlign w:val="center"/>
          </w:tcPr>
          <w:p w:rsidR="00C47CD0" w:rsidRDefault="00081AE9">
            <w:pPr>
              <w:jc w:val="center"/>
              <w:rPr>
                <w:color w:val="000000"/>
                <w:sz w:val="22"/>
                <w:szCs w:val="22"/>
              </w:rPr>
            </w:pPr>
            <w:r>
              <w:rPr>
                <w:color w:val="000000"/>
                <w:sz w:val="22"/>
                <w:szCs w:val="22"/>
              </w:rPr>
              <w:t>20865</w:t>
            </w:r>
          </w:p>
        </w:tc>
        <w:tc>
          <w:tcPr>
            <w:tcW w:w="1516" w:type="dxa"/>
            <w:tcBorders>
              <w:top w:val="single" w:sz="4" w:space="0" w:color="auto"/>
              <w:left w:val="nil"/>
              <w:bottom w:val="nil"/>
              <w:right w:val="nil"/>
            </w:tcBorders>
            <w:vAlign w:val="center"/>
          </w:tcPr>
          <w:p w:rsidR="00C47CD0" w:rsidRDefault="00081AE9">
            <w:pPr>
              <w:jc w:val="center"/>
              <w:rPr>
                <w:color w:val="000000"/>
                <w:sz w:val="22"/>
                <w:szCs w:val="22"/>
              </w:rPr>
            </w:pPr>
            <w:r>
              <w:rPr>
                <w:color w:val="000000"/>
                <w:sz w:val="22"/>
                <w:szCs w:val="22"/>
              </w:rPr>
              <w:t>4.17</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2</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林园学院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23867</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1606</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25473</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6.30</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3</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草环学院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16629</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928</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17557</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5.29</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4</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动科学院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11108</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354</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11462</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3.09</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5</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动医学院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10834</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396</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11230</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3.53</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6</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机交学院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25383</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2016</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27399</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7.36</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7</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水利学院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24124</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1697</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25821</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6.57</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8</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经贸学院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19131</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1223</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20354</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6.01</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9</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管理学院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18558</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751</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19309</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3.89</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10</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计算机学院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13300</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724</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14024</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5.16</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11</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食药学院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17157</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740</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17897</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4.13</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12</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数理学院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4693</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144</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4837</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2.98</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13</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化工学院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7913</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216</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8129</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2.66</w:t>
            </w:r>
          </w:p>
        </w:tc>
      </w:tr>
      <w:tr w:rsidR="00C47CD0">
        <w:trPr>
          <w:trHeight w:val="480"/>
        </w:trPr>
        <w:tc>
          <w:tcPr>
            <w:tcW w:w="814" w:type="dxa"/>
            <w:tcBorders>
              <w:top w:val="nil"/>
              <w:left w:val="nil"/>
              <w:bottom w:val="nil"/>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14</w:t>
            </w:r>
          </w:p>
        </w:tc>
        <w:tc>
          <w:tcPr>
            <w:tcW w:w="1413" w:type="dxa"/>
            <w:tcBorders>
              <w:top w:val="nil"/>
              <w:left w:val="nil"/>
              <w:bottom w:val="nil"/>
              <w:right w:val="nil"/>
            </w:tcBorders>
            <w:vAlign w:val="center"/>
          </w:tcPr>
          <w:p w:rsidR="00C47CD0" w:rsidRDefault="00081AE9">
            <w:pPr>
              <w:spacing w:line="270" w:lineRule="exact"/>
              <w:jc w:val="center"/>
              <w:rPr>
                <w:rFonts w:ascii="宋体" w:hAnsi="宋体" w:cs="宋体"/>
                <w:szCs w:val="21"/>
              </w:rPr>
            </w:pPr>
            <w:r>
              <w:rPr>
                <w:rFonts w:hint="eastAsia"/>
                <w:szCs w:val="21"/>
              </w:rPr>
              <w:t>中语学院</w:t>
            </w:r>
          </w:p>
        </w:tc>
        <w:tc>
          <w:tcPr>
            <w:tcW w:w="1589"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17986</w:t>
            </w:r>
          </w:p>
        </w:tc>
        <w:tc>
          <w:tcPr>
            <w:tcW w:w="1977"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1152</w:t>
            </w:r>
          </w:p>
        </w:tc>
        <w:tc>
          <w:tcPr>
            <w:tcW w:w="1423"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19138</w:t>
            </w:r>
          </w:p>
        </w:tc>
        <w:tc>
          <w:tcPr>
            <w:tcW w:w="1516" w:type="dxa"/>
            <w:tcBorders>
              <w:top w:val="nil"/>
              <w:left w:val="nil"/>
              <w:bottom w:val="nil"/>
              <w:right w:val="nil"/>
            </w:tcBorders>
            <w:vAlign w:val="center"/>
          </w:tcPr>
          <w:p w:rsidR="00C47CD0" w:rsidRDefault="00081AE9">
            <w:pPr>
              <w:jc w:val="center"/>
              <w:rPr>
                <w:color w:val="000000"/>
                <w:sz w:val="22"/>
                <w:szCs w:val="22"/>
              </w:rPr>
            </w:pPr>
            <w:r>
              <w:rPr>
                <w:color w:val="000000"/>
                <w:sz w:val="22"/>
                <w:szCs w:val="22"/>
              </w:rPr>
              <w:t>6.02</w:t>
            </w:r>
          </w:p>
        </w:tc>
      </w:tr>
      <w:tr w:rsidR="00C47CD0">
        <w:trPr>
          <w:trHeight w:val="480"/>
        </w:trPr>
        <w:tc>
          <w:tcPr>
            <w:tcW w:w="814" w:type="dxa"/>
            <w:tcBorders>
              <w:top w:val="nil"/>
              <w:left w:val="nil"/>
              <w:bottom w:val="single" w:sz="4" w:space="0" w:color="auto"/>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15</w:t>
            </w:r>
          </w:p>
        </w:tc>
        <w:tc>
          <w:tcPr>
            <w:tcW w:w="1413" w:type="dxa"/>
            <w:tcBorders>
              <w:top w:val="nil"/>
              <w:left w:val="nil"/>
              <w:bottom w:val="single" w:sz="4" w:space="0" w:color="auto"/>
              <w:right w:val="nil"/>
            </w:tcBorders>
            <w:vAlign w:val="center"/>
          </w:tcPr>
          <w:p w:rsidR="00C47CD0" w:rsidRDefault="00081AE9">
            <w:pPr>
              <w:spacing w:line="270" w:lineRule="exact"/>
              <w:jc w:val="center"/>
              <w:rPr>
                <w:rFonts w:ascii="宋体" w:hAnsi="宋体" w:cs="宋体"/>
                <w:szCs w:val="21"/>
              </w:rPr>
            </w:pPr>
            <w:r>
              <w:rPr>
                <w:rFonts w:hint="eastAsia"/>
                <w:szCs w:val="21"/>
              </w:rPr>
              <w:t>外语学院</w:t>
            </w:r>
          </w:p>
        </w:tc>
        <w:tc>
          <w:tcPr>
            <w:tcW w:w="1589" w:type="dxa"/>
            <w:tcBorders>
              <w:top w:val="nil"/>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5924</w:t>
            </w:r>
          </w:p>
        </w:tc>
        <w:tc>
          <w:tcPr>
            <w:tcW w:w="1977" w:type="dxa"/>
            <w:tcBorders>
              <w:top w:val="nil"/>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219</w:t>
            </w:r>
          </w:p>
        </w:tc>
        <w:tc>
          <w:tcPr>
            <w:tcW w:w="1423" w:type="dxa"/>
            <w:tcBorders>
              <w:top w:val="nil"/>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6143</w:t>
            </w:r>
          </w:p>
        </w:tc>
        <w:tc>
          <w:tcPr>
            <w:tcW w:w="1516" w:type="dxa"/>
            <w:tcBorders>
              <w:top w:val="nil"/>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3.57</w:t>
            </w:r>
          </w:p>
        </w:tc>
      </w:tr>
      <w:tr w:rsidR="00C47CD0">
        <w:trPr>
          <w:trHeight w:val="480"/>
        </w:trPr>
        <w:tc>
          <w:tcPr>
            <w:tcW w:w="814" w:type="dxa"/>
            <w:tcBorders>
              <w:top w:val="single" w:sz="4" w:space="0" w:color="auto"/>
              <w:left w:val="nil"/>
              <w:bottom w:val="single" w:sz="4" w:space="0" w:color="auto"/>
              <w:right w:val="nil"/>
            </w:tcBorders>
            <w:vAlign w:val="center"/>
          </w:tcPr>
          <w:p w:rsidR="00C47CD0" w:rsidRDefault="00081AE9">
            <w:pPr>
              <w:widowControl/>
              <w:spacing w:line="270" w:lineRule="exact"/>
              <w:jc w:val="center"/>
              <w:rPr>
                <w:rFonts w:ascii="宋体" w:hAnsi="宋体" w:cs="宋体"/>
                <w:kern w:val="0"/>
                <w:szCs w:val="21"/>
              </w:rPr>
            </w:pPr>
            <w:r>
              <w:rPr>
                <w:rFonts w:ascii="宋体" w:hAnsi="宋体" w:cs="宋体" w:hint="eastAsia"/>
                <w:kern w:val="0"/>
                <w:szCs w:val="21"/>
              </w:rPr>
              <w:t>16</w:t>
            </w:r>
          </w:p>
        </w:tc>
        <w:tc>
          <w:tcPr>
            <w:tcW w:w="1413" w:type="dxa"/>
            <w:tcBorders>
              <w:top w:val="single" w:sz="4" w:space="0" w:color="auto"/>
              <w:left w:val="nil"/>
              <w:bottom w:val="single" w:sz="4" w:space="0" w:color="auto"/>
              <w:right w:val="nil"/>
            </w:tcBorders>
            <w:vAlign w:val="center"/>
          </w:tcPr>
          <w:p w:rsidR="00C47CD0" w:rsidRDefault="00081AE9">
            <w:pPr>
              <w:spacing w:line="270" w:lineRule="exact"/>
              <w:jc w:val="center"/>
              <w:rPr>
                <w:szCs w:val="21"/>
              </w:rPr>
            </w:pPr>
            <w:r>
              <w:rPr>
                <w:rFonts w:hint="eastAsia"/>
                <w:szCs w:val="21"/>
              </w:rPr>
              <w:t>合计</w:t>
            </w:r>
          </w:p>
        </w:tc>
        <w:tc>
          <w:tcPr>
            <w:tcW w:w="1589" w:type="dxa"/>
            <w:tcBorders>
              <w:top w:val="single" w:sz="4" w:space="0" w:color="auto"/>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236602</w:t>
            </w:r>
          </w:p>
        </w:tc>
        <w:tc>
          <w:tcPr>
            <w:tcW w:w="1977" w:type="dxa"/>
            <w:tcBorders>
              <w:top w:val="single" w:sz="4" w:space="0" w:color="auto"/>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13036</w:t>
            </w:r>
          </w:p>
        </w:tc>
        <w:tc>
          <w:tcPr>
            <w:tcW w:w="1423" w:type="dxa"/>
            <w:tcBorders>
              <w:top w:val="single" w:sz="4" w:space="0" w:color="auto"/>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249638</w:t>
            </w:r>
          </w:p>
        </w:tc>
        <w:tc>
          <w:tcPr>
            <w:tcW w:w="1516" w:type="dxa"/>
            <w:tcBorders>
              <w:top w:val="single" w:sz="4" w:space="0" w:color="auto"/>
              <w:left w:val="nil"/>
              <w:bottom w:val="single" w:sz="4" w:space="0" w:color="auto"/>
              <w:right w:val="nil"/>
            </w:tcBorders>
            <w:vAlign w:val="center"/>
          </w:tcPr>
          <w:p w:rsidR="00C47CD0" w:rsidRDefault="00081AE9">
            <w:pPr>
              <w:jc w:val="center"/>
              <w:rPr>
                <w:color w:val="000000"/>
                <w:sz w:val="22"/>
                <w:szCs w:val="22"/>
              </w:rPr>
            </w:pPr>
            <w:r>
              <w:rPr>
                <w:color w:val="000000"/>
                <w:sz w:val="22"/>
                <w:szCs w:val="22"/>
              </w:rPr>
              <w:t>5.22</w:t>
            </w:r>
          </w:p>
        </w:tc>
      </w:tr>
    </w:tbl>
    <w:p w:rsidR="00C47CD0" w:rsidRDefault="00C47CD0">
      <w:pPr>
        <w:ind w:firstLineChars="200" w:firstLine="640"/>
        <w:outlineLvl w:val="2"/>
        <w:rPr>
          <w:rFonts w:ascii="仿宋_GB2312" w:eastAsia="仿宋_GB2312"/>
          <w:sz w:val="32"/>
          <w:szCs w:val="32"/>
        </w:rPr>
      </w:pPr>
    </w:p>
    <w:p w:rsidR="00C47CD0" w:rsidRDefault="00081AE9">
      <w:pPr>
        <w:ind w:firstLineChars="200" w:firstLine="640"/>
        <w:outlineLvl w:val="2"/>
        <w:rPr>
          <w:rFonts w:ascii="仿宋_GB2312" w:eastAsia="仿宋_GB2312"/>
          <w:sz w:val="32"/>
          <w:szCs w:val="32"/>
        </w:rPr>
      </w:pPr>
      <w:r>
        <w:rPr>
          <w:rFonts w:ascii="仿宋_GB2312" w:eastAsia="仿宋_GB2312" w:hint="eastAsia"/>
          <w:sz w:val="32"/>
          <w:szCs w:val="32"/>
        </w:rPr>
        <w:t>3、学生考试违规情况</w:t>
      </w:r>
      <w:bookmarkEnd w:id="122"/>
      <w:bookmarkEnd w:id="123"/>
    </w:p>
    <w:p w:rsidR="00C47CD0" w:rsidRDefault="00081AE9">
      <w:pPr>
        <w:ind w:firstLineChars="200" w:firstLine="640"/>
        <w:outlineLvl w:val="2"/>
        <w:rPr>
          <w:rFonts w:ascii="仿宋_GB2312" w:eastAsia="仿宋_GB2312"/>
          <w:sz w:val="32"/>
          <w:szCs w:val="32"/>
        </w:rPr>
      </w:pPr>
      <w:r>
        <w:rPr>
          <w:rFonts w:ascii="仿宋_GB2312" w:eastAsia="仿宋_GB2312" w:hint="eastAsia"/>
          <w:sz w:val="32"/>
          <w:szCs w:val="32"/>
        </w:rPr>
        <w:t>加强教育，严格要求，狠抓考风考纪。从新生入学教育开始，反复宣讲考试纪律，开展多种形式的诚信考试教育活动。校内重考和课程结业考试坚持时间相对集中、考场相对集中原则，坚持管理全覆盖、巡视全覆盖，考试周的考试全程巡考。对考试中的违纪违规现象及时通报、及时处理。巡考增加了试卷形式审查的内容，监考增加了统计开考后</w:t>
      </w:r>
      <w:r>
        <w:rPr>
          <w:rFonts w:ascii="仿宋_GB2312" w:eastAsia="仿宋_GB2312"/>
          <w:sz w:val="32"/>
          <w:szCs w:val="32"/>
        </w:rPr>
        <w:t>1</w:t>
      </w:r>
      <w:r>
        <w:rPr>
          <w:rFonts w:ascii="仿宋_GB2312" w:eastAsia="仿宋_GB2312" w:hint="eastAsia"/>
          <w:sz w:val="32"/>
          <w:szCs w:val="32"/>
        </w:rPr>
        <w:t>小时内交卷人数的内容。2015年共处理违规考生37名，其中</w:t>
      </w:r>
      <w:r>
        <w:rPr>
          <w:rFonts w:ascii="仿宋_GB2312" w:eastAsia="仿宋_GB2312" w:hint="eastAsia"/>
          <w:sz w:val="32"/>
          <w:szCs w:val="32"/>
        </w:rPr>
        <w:lastRenderedPageBreak/>
        <w:t>1名学生受到留校察看处分、31名学生受到记过处分、5名学生受到严重警告处分。考风考纪呈进一步好转趋势。</w:t>
      </w:r>
      <w:r>
        <w:rPr>
          <w:rFonts w:ascii="仿宋_GB2312" w:eastAsia="仿宋_GB2312" w:hint="eastAsia"/>
          <w:color w:val="000000" w:themeColor="text1"/>
          <w:sz w:val="32"/>
          <w:szCs w:val="32"/>
        </w:rPr>
        <w:t>201</w:t>
      </w:r>
      <w:r>
        <w:rPr>
          <w:rFonts w:ascii="仿宋_GB2312" w:eastAsia="仿宋_GB2312"/>
          <w:color w:val="000000" w:themeColor="text1"/>
          <w:sz w:val="32"/>
          <w:szCs w:val="32"/>
        </w:rPr>
        <w:t>5</w:t>
      </w:r>
      <w:r>
        <w:rPr>
          <w:rFonts w:ascii="仿宋_GB2312" w:eastAsia="仿宋_GB2312" w:hint="eastAsia"/>
          <w:color w:val="000000" w:themeColor="text1"/>
          <w:sz w:val="32"/>
          <w:szCs w:val="32"/>
        </w:rPr>
        <w:t>年各学院学生考试违规情况见表1</w:t>
      </w:r>
      <w:r>
        <w:rPr>
          <w:rFonts w:ascii="仿宋_GB2312" w:eastAsia="仿宋_GB2312"/>
          <w:color w:val="000000" w:themeColor="text1"/>
          <w:sz w:val="32"/>
          <w:szCs w:val="32"/>
        </w:rPr>
        <w:t>1</w:t>
      </w:r>
      <w:r>
        <w:rPr>
          <w:rFonts w:ascii="仿宋_GB2312" w:eastAsia="仿宋_GB2312" w:hint="eastAsia"/>
          <w:color w:val="000000" w:themeColor="text1"/>
          <w:sz w:val="32"/>
          <w:szCs w:val="32"/>
        </w:rPr>
        <w:t>。</w:t>
      </w:r>
    </w:p>
    <w:p w:rsidR="00C47CD0" w:rsidRDefault="00081AE9">
      <w:pPr>
        <w:jc w:val="center"/>
        <w:rPr>
          <w:rFonts w:ascii="宋体" w:hAnsi="宋体"/>
          <w:b/>
          <w:sz w:val="28"/>
          <w:szCs w:val="28"/>
        </w:rPr>
      </w:pPr>
      <w:r>
        <w:rPr>
          <w:rFonts w:ascii="宋体" w:hAnsi="宋体" w:hint="eastAsia"/>
          <w:sz w:val="24"/>
        </w:rPr>
        <w:t>表1</w:t>
      </w:r>
      <w:r>
        <w:rPr>
          <w:rFonts w:ascii="宋体" w:hAnsi="宋体"/>
          <w:sz w:val="24"/>
        </w:rPr>
        <w:t>1</w:t>
      </w:r>
      <w:r>
        <w:rPr>
          <w:rFonts w:ascii="宋体" w:hAnsi="宋体" w:hint="eastAsia"/>
          <w:b/>
          <w:sz w:val="28"/>
          <w:szCs w:val="28"/>
        </w:rPr>
        <w:t xml:space="preserve"> 201</w:t>
      </w:r>
      <w:r>
        <w:rPr>
          <w:rFonts w:ascii="宋体" w:hAnsi="宋体"/>
          <w:b/>
          <w:sz w:val="28"/>
          <w:szCs w:val="28"/>
        </w:rPr>
        <w:t>5</w:t>
      </w:r>
      <w:r>
        <w:rPr>
          <w:rFonts w:ascii="宋体" w:hAnsi="宋体" w:hint="eastAsia"/>
          <w:b/>
          <w:sz w:val="28"/>
          <w:szCs w:val="28"/>
        </w:rPr>
        <w:t>年各学院学生考试违规情况</w:t>
      </w:r>
    </w:p>
    <w:tbl>
      <w:tblPr>
        <w:tblW w:w="8522" w:type="dxa"/>
        <w:tblBorders>
          <w:top w:val="single" w:sz="4" w:space="0" w:color="auto"/>
          <w:bottom w:val="single" w:sz="4" w:space="0" w:color="auto"/>
        </w:tblBorders>
        <w:tblLayout w:type="fixed"/>
        <w:tblLook w:val="04A0" w:firstRow="1" w:lastRow="0" w:firstColumn="1" w:lastColumn="0" w:noHBand="0" w:noVBand="1"/>
      </w:tblPr>
      <w:tblGrid>
        <w:gridCol w:w="1504"/>
        <w:gridCol w:w="2674"/>
        <w:gridCol w:w="2004"/>
        <w:gridCol w:w="2340"/>
      </w:tblGrid>
      <w:tr w:rsidR="00C47CD0">
        <w:trPr>
          <w:trHeight w:val="420"/>
          <w:tblHeader/>
        </w:trPr>
        <w:tc>
          <w:tcPr>
            <w:tcW w:w="1504" w:type="dxa"/>
            <w:tcBorders>
              <w:top w:val="single" w:sz="4" w:space="0" w:color="auto"/>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b/>
                <w:kern w:val="0"/>
                <w:szCs w:val="21"/>
              </w:rPr>
            </w:pPr>
            <w:r>
              <w:rPr>
                <w:rFonts w:ascii="宋体" w:hAnsi="宋体" w:cs="宋体" w:hint="eastAsia"/>
                <w:b/>
                <w:kern w:val="0"/>
                <w:szCs w:val="21"/>
              </w:rPr>
              <w:t>序号</w:t>
            </w:r>
          </w:p>
        </w:tc>
        <w:tc>
          <w:tcPr>
            <w:tcW w:w="2674" w:type="dxa"/>
            <w:tcBorders>
              <w:top w:val="single" w:sz="4" w:space="0" w:color="auto"/>
              <w:left w:val="nil"/>
              <w:bottom w:val="single" w:sz="4" w:space="0" w:color="auto"/>
              <w:right w:val="nil"/>
            </w:tcBorders>
            <w:vAlign w:val="center"/>
          </w:tcPr>
          <w:p w:rsidR="00C47CD0" w:rsidRDefault="00081AE9">
            <w:pPr>
              <w:adjustRightInd w:val="0"/>
              <w:snapToGrid w:val="0"/>
              <w:spacing w:line="400" w:lineRule="exact"/>
              <w:jc w:val="center"/>
              <w:rPr>
                <w:rFonts w:ascii="宋体" w:hAnsi="宋体" w:cs="宋体"/>
                <w:b/>
                <w:szCs w:val="21"/>
              </w:rPr>
            </w:pPr>
            <w:r>
              <w:rPr>
                <w:rFonts w:hint="eastAsia"/>
                <w:b/>
                <w:szCs w:val="21"/>
              </w:rPr>
              <w:t>单位</w:t>
            </w:r>
          </w:p>
        </w:tc>
        <w:tc>
          <w:tcPr>
            <w:tcW w:w="2004" w:type="dxa"/>
            <w:tcBorders>
              <w:top w:val="single" w:sz="4" w:space="0" w:color="auto"/>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b/>
                <w:kern w:val="0"/>
                <w:szCs w:val="21"/>
              </w:rPr>
            </w:pPr>
            <w:r>
              <w:rPr>
                <w:rFonts w:ascii="宋体" w:hAnsi="宋体" w:cs="宋体" w:hint="eastAsia"/>
                <w:b/>
                <w:kern w:val="0"/>
                <w:szCs w:val="21"/>
              </w:rPr>
              <w:t>考试违规人次</w:t>
            </w:r>
          </w:p>
        </w:tc>
        <w:tc>
          <w:tcPr>
            <w:tcW w:w="2340" w:type="dxa"/>
            <w:tcBorders>
              <w:top w:val="single" w:sz="4" w:space="0" w:color="auto"/>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b/>
                <w:kern w:val="0"/>
                <w:szCs w:val="21"/>
              </w:rPr>
            </w:pPr>
            <w:r>
              <w:rPr>
                <w:rFonts w:ascii="宋体" w:hAnsi="宋体" w:cs="宋体" w:hint="eastAsia"/>
                <w:b/>
                <w:kern w:val="0"/>
                <w:szCs w:val="21"/>
              </w:rPr>
              <w:t>占学生总数比例（%）</w:t>
            </w:r>
          </w:p>
        </w:tc>
      </w:tr>
      <w:tr w:rsidR="00C47CD0">
        <w:trPr>
          <w:trHeight w:val="420"/>
        </w:trPr>
        <w:tc>
          <w:tcPr>
            <w:tcW w:w="1504" w:type="dxa"/>
            <w:tcBorders>
              <w:top w:val="single" w:sz="4" w:space="0" w:color="auto"/>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w:t>
            </w:r>
          </w:p>
        </w:tc>
        <w:tc>
          <w:tcPr>
            <w:tcW w:w="2674" w:type="dxa"/>
            <w:tcBorders>
              <w:top w:val="single" w:sz="4" w:space="0" w:color="auto"/>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农学院</w:t>
            </w:r>
          </w:p>
        </w:tc>
        <w:tc>
          <w:tcPr>
            <w:tcW w:w="2004" w:type="dxa"/>
            <w:tcBorders>
              <w:top w:val="single" w:sz="4" w:space="0" w:color="auto"/>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3</w:t>
            </w:r>
          </w:p>
        </w:tc>
        <w:tc>
          <w:tcPr>
            <w:tcW w:w="2340" w:type="dxa"/>
            <w:tcBorders>
              <w:top w:val="single" w:sz="4" w:space="0" w:color="auto"/>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0.25</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2</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林园学院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0.07</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3</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草环学院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3</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0.29</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4</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动科学院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2</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0.29</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5</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动医学院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3</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0.42</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6</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机交学院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4</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0.26</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7</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水利学院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4</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0.28</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8</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经贸学院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2</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0.16</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9</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管理学院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2</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0.18</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10</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计算机学院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4</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0.43</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11</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食药学院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4</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0.38</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12</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数理学院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0.32</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13</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化工学院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w:t>
            </w:r>
          </w:p>
        </w:tc>
      </w:tr>
      <w:tr w:rsidR="00C47CD0">
        <w:trPr>
          <w:trHeight w:val="420"/>
        </w:trPr>
        <w:tc>
          <w:tcPr>
            <w:tcW w:w="15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14</w:t>
            </w:r>
          </w:p>
        </w:tc>
        <w:tc>
          <w:tcPr>
            <w:tcW w:w="2674" w:type="dxa"/>
            <w:tcBorders>
              <w:top w:val="nil"/>
              <w:left w:val="nil"/>
              <w:bottom w:val="nil"/>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中语学院</w:t>
            </w:r>
          </w:p>
        </w:tc>
        <w:tc>
          <w:tcPr>
            <w:tcW w:w="2004" w:type="dxa"/>
            <w:tcBorders>
              <w:top w:val="nil"/>
              <w:left w:val="nil"/>
              <w:bottom w:val="nil"/>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2</w:t>
            </w:r>
          </w:p>
        </w:tc>
        <w:tc>
          <w:tcPr>
            <w:tcW w:w="2340" w:type="dxa"/>
            <w:tcBorders>
              <w:top w:val="nil"/>
              <w:left w:val="nil"/>
              <w:bottom w:val="nil"/>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0.14</w:t>
            </w:r>
          </w:p>
        </w:tc>
      </w:tr>
      <w:tr w:rsidR="00C47CD0">
        <w:trPr>
          <w:trHeight w:val="420"/>
        </w:trPr>
        <w:tc>
          <w:tcPr>
            <w:tcW w:w="1504" w:type="dxa"/>
            <w:tcBorders>
              <w:top w:val="nil"/>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15</w:t>
            </w:r>
          </w:p>
        </w:tc>
        <w:tc>
          <w:tcPr>
            <w:tcW w:w="2674" w:type="dxa"/>
            <w:tcBorders>
              <w:top w:val="nil"/>
              <w:left w:val="nil"/>
              <w:bottom w:val="single" w:sz="4" w:space="0" w:color="auto"/>
              <w:right w:val="nil"/>
            </w:tcBorders>
            <w:vAlign w:val="center"/>
          </w:tcPr>
          <w:p w:rsidR="00C47CD0" w:rsidRDefault="00081AE9">
            <w:pPr>
              <w:adjustRightInd w:val="0"/>
              <w:snapToGrid w:val="0"/>
              <w:spacing w:line="400" w:lineRule="exact"/>
              <w:jc w:val="center"/>
              <w:rPr>
                <w:rFonts w:ascii="宋体" w:hAnsi="宋体" w:cs="宋体"/>
                <w:szCs w:val="21"/>
              </w:rPr>
            </w:pPr>
            <w:r>
              <w:rPr>
                <w:rFonts w:hint="eastAsia"/>
                <w:szCs w:val="21"/>
              </w:rPr>
              <w:t>外语学院</w:t>
            </w:r>
          </w:p>
        </w:tc>
        <w:tc>
          <w:tcPr>
            <w:tcW w:w="2004" w:type="dxa"/>
            <w:tcBorders>
              <w:top w:val="nil"/>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2</w:t>
            </w:r>
          </w:p>
        </w:tc>
        <w:tc>
          <w:tcPr>
            <w:tcW w:w="2340" w:type="dxa"/>
            <w:tcBorders>
              <w:top w:val="nil"/>
              <w:left w:val="nil"/>
              <w:bottom w:val="single" w:sz="4" w:space="0" w:color="auto"/>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0.58</w:t>
            </w:r>
          </w:p>
        </w:tc>
      </w:tr>
      <w:tr w:rsidR="00C47CD0">
        <w:trPr>
          <w:trHeight w:val="420"/>
        </w:trPr>
        <w:tc>
          <w:tcPr>
            <w:tcW w:w="1504" w:type="dxa"/>
            <w:tcBorders>
              <w:top w:val="single" w:sz="4" w:space="0" w:color="auto"/>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16</w:t>
            </w:r>
          </w:p>
        </w:tc>
        <w:tc>
          <w:tcPr>
            <w:tcW w:w="2674" w:type="dxa"/>
            <w:tcBorders>
              <w:top w:val="single" w:sz="4" w:space="0" w:color="auto"/>
              <w:left w:val="nil"/>
              <w:bottom w:val="single" w:sz="4" w:space="0" w:color="auto"/>
              <w:right w:val="nil"/>
            </w:tcBorders>
            <w:vAlign w:val="center"/>
          </w:tcPr>
          <w:p w:rsidR="00C47CD0" w:rsidRDefault="00081AE9">
            <w:pPr>
              <w:adjustRightInd w:val="0"/>
              <w:snapToGrid w:val="0"/>
              <w:spacing w:line="400" w:lineRule="exact"/>
              <w:jc w:val="center"/>
              <w:rPr>
                <w:szCs w:val="21"/>
              </w:rPr>
            </w:pPr>
            <w:r>
              <w:rPr>
                <w:rFonts w:hint="eastAsia"/>
                <w:szCs w:val="21"/>
              </w:rPr>
              <w:t>全校合计</w:t>
            </w:r>
          </w:p>
        </w:tc>
        <w:tc>
          <w:tcPr>
            <w:tcW w:w="2004" w:type="dxa"/>
            <w:tcBorders>
              <w:top w:val="single" w:sz="4" w:space="0" w:color="auto"/>
              <w:left w:val="nil"/>
              <w:bottom w:val="single" w:sz="4" w:space="0" w:color="auto"/>
              <w:right w:val="nil"/>
            </w:tcBorders>
            <w:vAlign w:val="center"/>
          </w:tcPr>
          <w:p w:rsidR="00C47CD0" w:rsidRDefault="00081AE9">
            <w:pPr>
              <w:widowControl/>
              <w:adjustRightInd w:val="0"/>
              <w:snapToGrid w:val="0"/>
              <w:spacing w:line="400" w:lineRule="exact"/>
              <w:jc w:val="center"/>
              <w:rPr>
                <w:rFonts w:ascii="宋体" w:hAnsi="宋体" w:cs="宋体"/>
                <w:kern w:val="0"/>
                <w:szCs w:val="21"/>
              </w:rPr>
            </w:pPr>
            <w:r>
              <w:rPr>
                <w:rFonts w:ascii="宋体" w:hAnsi="宋体" w:cs="宋体" w:hint="eastAsia"/>
                <w:kern w:val="0"/>
                <w:szCs w:val="21"/>
              </w:rPr>
              <w:t>37</w:t>
            </w:r>
          </w:p>
        </w:tc>
        <w:tc>
          <w:tcPr>
            <w:tcW w:w="2340" w:type="dxa"/>
            <w:tcBorders>
              <w:top w:val="single" w:sz="4" w:space="0" w:color="auto"/>
              <w:left w:val="nil"/>
              <w:bottom w:val="single" w:sz="4" w:space="0" w:color="auto"/>
              <w:right w:val="nil"/>
            </w:tcBorders>
            <w:vAlign w:val="center"/>
          </w:tcPr>
          <w:p w:rsidR="00C47CD0" w:rsidRDefault="00081AE9">
            <w:pPr>
              <w:jc w:val="center"/>
              <w:rPr>
                <w:rFonts w:ascii="宋体" w:hAnsi="宋体" w:cs="宋体"/>
                <w:color w:val="000000"/>
                <w:sz w:val="22"/>
              </w:rPr>
            </w:pPr>
            <w:r>
              <w:rPr>
                <w:rFonts w:ascii="宋体" w:hAnsi="宋体" w:cs="宋体" w:hint="eastAsia"/>
                <w:color w:val="000000"/>
                <w:sz w:val="22"/>
              </w:rPr>
              <w:t>0.25</w:t>
            </w:r>
          </w:p>
        </w:tc>
      </w:tr>
    </w:tbl>
    <w:p w:rsidR="00C47CD0" w:rsidRDefault="00C47CD0">
      <w:pPr>
        <w:jc w:val="center"/>
        <w:rPr>
          <w:rFonts w:ascii="宋体" w:hAnsi="宋体"/>
          <w:sz w:val="24"/>
        </w:rPr>
      </w:pPr>
    </w:p>
    <w:p w:rsidR="00C47CD0" w:rsidRDefault="00081AE9">
      <w:pPr>
        <w:autoSpaceDE w:val="0"/>
        <w:autoSpaceDN w:val="0"/>
        <w:ind w:firstLineChars="200" w:firstLine="643"/>
        <w:jc w:val="left"/>
        <w:outlineLvl w:val="1"/>
        <w:rPr>
          <w:rFonts w:ascii="仿宋_GB2312" w:eastAsia="仿宋_GB2312"/>
          <w:b/>
          <w:sz w:val="32"/>
          <w:szCs w:val="32"/>
        </w:rPr>
      </w:pPr>
      <w:bookmarkStart w:id="124" w:name="_Toc435713805"/>
      <w:bookmarkStart w:id="125" w:name="_Toc435713898"/>
      <w:r>
        <w:rPr>
          <w:rFonts w:ascii="仿宋_GB2312" w:eastAsia="仿宋_GB2312" w:hint="eastAsia"/>
          <w:b/>
          <w:sz w:val="32"/>
          <w:szCs w:val="32"/>
        </w:rPr>
        <w:t>（三）评教、</w:t>
      </w:r>
      <w:r>
        <w:rPr>
          <w:rFonts w:ascii="仿宋_GB2312" w:eastAsia="仿宋_GB2312"/>
          <w:b/>
          <w:sz w:val="32"/>
          <w:szCs w:val="32"/>
        </w:rPr>
        <w:t>评学</w:t>
      </w:r>
      <w:r>
        <w:rPr>
          <w:rFonts w:ascii="仿宋_GB2312" w:eastAsia="仿宋_GB2312" w:hint="eastAsia"/>
          <w:b/>
          <w:sz w:val="32"/>
          <w:szCs w:val="32"/>
        </w:rPr>
        <w:t>工作</w:t>
      </w:r>
      <w:bookmarkEnd w:id="124"/>
      <w:bookmarkEnd w:id="125"/>
    </w:p>
    <w:p w:rsidR="00C47CD0" w:rsidRDefault="00081AE9">
      <w:pPr>
        <w:widowControl/>
        <w:ind w:firstLineChars="200" w:firstLine="640"/>
        <w:jc w:val="left"/>
        <w:rPr>
          <w:rFonts w:ascii="仿宋_GB2312" w:eastAsia="仿宋_GB2312"/>
          <w:sz w:val="32"/>
          <w:szCs w:val="32"/>
        </w:rPr>
      </w:pPr>
      <w:r>
        <w:rPr>
          <w:rFonts w:ascii="仿宋_GB2312" w:eastAsia="仿宋_GB2312" w:hint="eastAsia"/>
          <w:sz w:val="32"/>
          <w:szCs w:val="32"/>
        </w:rPr>
        <w:t>2014年</w:t>
      </w:r>
      <w:r>
        <w:rPr>
          <w:rFonts w:ascii="仿宋_GB2312" w:eastAsia="仿宋_GB2312"/>
          <w:sz w:val="32"/>
          <w:szCs w:val="32"/>
        </w:rPr>
        <w:t>首次开展了学生网上评教工作，为进一步</w:t>
      </w:r>
      <w:r>
        <w:rPr>
          <w:rFonts w:ascii="仿宋_GB2312" w:eastAsia="仿宋_GB2312" w:hint="eastAsia"/>
          <w:sz w:val="32"/>
          <w:szCs w:val="32"/>
        </w:rPr>
        <w:t>推动教风学风建设，2015年在原有学生评教的基础上，不断完善教学质量监控体系，充分发挥评价功能，制定并完善教师评学的评价标准，首次开展教师网上评学工作。任课教师主要从学习态度、课堂行为、纪律状况和学习效果4个一级指标和</w:t>
      </w:r>
      <w:r>
        <w:rPr>
          <w:rFonts w:ascii="仿宋_GB2312" w:eastAsia="仿宋_GB2312" w:hint="eastAsia"/>
          <w:sz w:val="32"/>
          <w:szCs w:val="32"/>
        </w:rPr>
        <w:lastRenderedPageBreak/>
        <w:t>完成作业情况、配合任课教师教学活动情况、课堂出勤率、创新能力等10个二级指标对授课班级进行评价，10个二级指标每项满分10分，总评满分100分。</w:t>
      </w:r>
    </w:p>
    <w:p w:rsidR="00C47CD0" w:rsidRDefault="00081AE9">
      <w:pPr>
        <w:widowControl/>
        <w:ind w:firstLineChars="200" w:firstLine="640"/>
        <w:jc w:val="left"/>
        <w:rPr>
          <w:rFonts w:ascii="仿宋_GB2312" w:eastAsia="仿宋_GB2312"/>
          <w:sz w:val="32"/>
          <w:szCs w:val="32"/>
        </w:rPr>
      </w:pPr>
      <w:r>
        <w:rPr>
          <w:rFonts w:ascii="仿宋_GB2312" w:eastAsia="仿宋_GB2312" w:hint="eastAsia"/>
          <w:sz w:val="32"/>
          <w:szCs w:val="32"/>
        </w:rPr>
        <w:t>2015-2016学年第一学期全校应参加评学教师778人，涉及2864门次课程，实际参加评学教师643人，涉及2456门次课程，参评教师比例为82.65%，评价共计3824个班次，380个行政班级，覆盖了全校所有在校班级。2015-2016学年第二学期全校应参加评学教师729人，涉及2308门次课程，实际参加评学教师564人，涉及1915门次课程，参评教师比例为77.37%，评价共计2050个班次，304个行政班级，班级覆盖率80%。</w:t>
      </w:r>
    </w:p>
    <w:p w:rsidR="00C47CD0" w:rsidRDefault="00081AE9">
      <w:pPr>
        <w:widowControl/>
        <w:ind w:firstLineChars="200" w:firstLine="640"/>
        <w:jc w:val="left"/>
        <w:rPr>
          <w:rFonts w:ascii="仿宋_GB2312" w:eastAsia="仿宋_GB2312"/>
          <w:sz w:val="32"/>
          <w:szCs w:val="32"/>
        </w:rPr>
      </w:pPr>
      <w:r>
        <w:rPr>
          <w:rFonts w:ascii="仿宋_GB2312" w:eastAsia="仿宋_GB2312" w:hint="eastAsia"/>
          <w:sz w:val="32"/>
          <w:szCs w:val="32"/>
        </w:rPr>
        <w:t>从教师评学的测评结果显示，一级指标“学生的学习效果”评价，各教学单位教师的评价较低，由此说明，学生在学习效果上还未达到任课教师的期望值，任课教师认为学生在学习效果上有待进一步努力和提高。二级指标中“学生学习探究意识和创新能力”评价分值为中等，评分最低，由此反映出任课教师认为学生在学习过程中缺乏独立思考，对学习内容的探究和创新意识不够，实践应用能力也有所欠缺。在以后的教师教学和学生学习过程中需引起重视。</w:t>
      </w:r>
    </w:p>
    <w:p w:rsidR="00C47CD0" w:rsidRDefault="00081AE9">
      <w:pPr>
        <w:widowControl/>
        <w:ind w:firstLineChars="200" w:firstLine="640"/>
        <w:jc w:val="left"/>
        <w:rPr>
          <w:rFonts w:ascii="仿宋_GB2312" w:eastAsia="仿宋_GB2312"/>
          <w:sz w:val="32"/>
          <w:szCs w:val="32"/>
        </w:rPr>
      </w:pPr>
      <w:r>
        <w:rPr>
          <w:rFonts w:ascii="仿宋_GB2312" w:eastAsia="仿宋_GB2312" w:hint="eastAsia"/>
          <w:sz w:val="32"/>
          <w:szCs w:val="32"/>
        </w:rPr>
        <w:t>同时组织完成每学期</w:t>
      </w:r>
      <w:r>
        <w:rPr>
          <w:rFonts w:ascii="仿宋_GB2312" w:eastAsia="仿宋_GB2312"/>
          <w:sz w:val="32"/>
          <w:szCs w:val="32"/>
        </w:rPr>
        <w:t>全</w:t>
      </w:r>
      <w:r>
        <w:rPr>
          <w:rFonts w:ascii="仿宋_GB2312" w:eastAsia="仿宋_GB2312" w:hint="eastAsia"/>
          <w:sz w:val="32"/>
          <w:szCs w:val="32"/>
        </w:rPr>
        <w:t>校学生网上评教工作。所有学生从教学态度、教学方法、教学内容、教学管理和个人课程收获5个方面对任课教师进行评价。</w:t>
      </w:r>
    </w:p>
    <w:p w:rsidR="00C47CD0" w:rsidRDefault="00081AE9">
      <w:pPr>
        <w:widowControl/>
        <w:ind w:firstLineChars="200" w:firstLine="640"/>
        <w:jc w:val="left"/>
        <w:rPr>
          <w:rFonts w:ascii="仿宋_GB2312" w:eastAsia="仿宋_GB2312"/>
          <w:sz w:val="32"/>
          <w:szCs w:val="32"/>
        </w:rPr>
      </w:pPr>
      <w:r>
        <w:rPr>
          <w:rFonts w:ascii="仿宋_GB2312" w:eastAsia="仿宋_GB2312" w:hint="eastAsia"/>
          <w:sz w:val="32"/>
          <w:szCs w:val="32"/>
        </w:rPr>
        <w:lastRenderedPageBreak/>
        <w:t>2015-2016学年第一学期全校应参加评教学生15034人，实际参加评教学生11690人，参评比例为77.8%。全校各单位被评任课教师736。</w:t>
      </w:r>
      <w:r>
        <w:rPr>
          <w:rFonts w:ascii="仿宋_GB2312" w:eastAsia="仿宋_GB2312"/>
          <w:sz w:val="32"/>
          <w:szCs w:val="32"/>
        </w:rPr>
        <w:t>201</w:t>
      </w:r>
      <w:r>
        <w:rPr>
          <w:rFonts w:ascii="仿宋_GB2312" w:eastAsia="仿宋_GB2312" w:hint="eastAsia"/>
          <w:sz w:val="32"/>
          <w:szCs w:val="32"/>
        </w:rPr>
        <w:t>5</w:t>
      </w:r>
      <w:r>
        <w:rPr>
          <w:rFonts w:ascii="仿宋_GB2312" w:eastAsia="仿宋_GB2312"/>
          <w:sz w:val="32"/>
          <w:szCs w:val="32"/>
        </w:rPr>
        <w:t>-201</w:t>
      </w:r>
      <w:r>
        <w:rPr>
          <w:rFonts w:ascii="仿宋_GB2312" w:eastAsia="仿宋_GB2312" w:hint="eastAsia"/>
          <w:sz w:val="32"/>
          <w:szCs w:val="32"/>
        </w:rPr>
        <w:t>6学年第二学期全校应参加评教学生15000人，实际参加评教学生9136人，参评比例为60.91</w:t>
      </w:r>
      <w:r>
        <w:rPr>
          <w:rFonts w:ascii="仿宋_GB2312" w:eastAsia="仿宋_GB2312"/>
          <w:sz w:val="32"/>
          <w:szCs w:val="32"/>
        </w:rPr>
        <w:t>%</w:t>
      </w:r>
      <w:r>
        <w:rPr>
          <w:rFonts w:ascii="仿宋_GB2312" w:eastAsia="仿宋_GB2312" w:hint="eastAsia"/>
          <w:sz w:val="32"/>
          <w:szCs w:val="32"/>
        </w:rPr>
        <w:t>。全校各单位被评任课教师768人，分析统计人数715人。教务处对评价结果进行统计分析并发布通报，对于评价结果前15%的教师予以表彰，促进了教与学的沟通，帮助教</w:t>
      </w:r>
      <w:r>
        <w:rPr>
          <w:rFonts w:ascii="仿宋_GB2312" w:eastAsia="仿宋_GB2312"/>
          <w:sz w:val="32"/>
          <w:szCs w:val="32"/>
        </w:rPr>
        <w:t>师改进教学，提高教学效果</w:t>
      </w:r>
      <w:r>
        <w:rPr>
          <w:rFonts w:ascii="仿宋_GB2312" w:eastAsia="仿宋_GB2312" w:hint="eastAsia"/>
          <w:sz w:val="32"/>
          <w:szCs w:val="32"/>
        </w:rPr>
        <w:t>。</w:t>
      </w:r>
    </w:p>
    <w:p w:rsidR="00C47CD0" w:rsidRDefault="00081AE9">
      <w:pPr>
        <w:ind w:firstLine="560"/>
        <w:jc w:val="left"/>
        <w:rPr>
          <w:rFonts w:ascii="仿宋_GB2312" w:eastAsia="仿宋_GB2312"/>
          <w:sz w:val="32"/>
          <w:szCs w:val="32"/>
        </w:rPr>
      </w:pPr>
      <w:r>
        <w:rPr>
          <w:rFonts w:ascii="仿宋_GB2312" w:eastAsia="仿宋_GB2312" w:hint="eastAsia"/>
          <w:sz w:val="32"/>
          <w:szCs w:val="32"/>
        </w:rPr>
        <w:t>从学生评教测评结果显示，学生对教师的教学态度满意度最高，达到</w:t>
      </w:r>
      <w:r>
        <w:rPr>
          <w:rFonts w:ascii="仿宋_GB2312" w:eastAsia="仿宋_GB2312"/>
          <w:sz w:val="32"/>
          <w:szCs w:val="32"/>
        </w:rPr>
        <w:t>9</w:t>
      </w:r>
      <w:r>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以上；教学方法、教学内容和教学管理优秀率均在70%</w:t>
      </w:r>
      <w:r>
        <w:rPr>
          <w:rFonts w:ascii="仿宋_GB2312" w:eastAsia="仿宋_GB2312"/>
          <w:sz w:val="32"/>
          <w:szCs w:val="32"/>
        </w:rPr>
        <w:t>-</w:t>
      </w:r>
      <w:r>
        <w:rPr>
          <w:rFonts w:ascii="仿宋_GB2312" w:eastAsia="仿宋_GB2312" w:hint="eastAsia"/>
          <w:sz w:val="32"/>
          <w:szCs w:val="32"/>
        </w:rPr>
        <w:t>8</w:t>
      </w:r>
      <w:r>
        <w:rPr>
          <w:rFonts w:ascii="仿宋_GB2312" w:eastAsia="仿宋_GB2312"/>
          <w:sz w:val="32"/>
          <w:szCs w:val="32"/>
        </w:rPr>
        <w:t>0%</w:t>
      </w:r>
      <w:r>
        <w:rPr>
          <w:rFonts w:ascii="仿宋_GB2312" w:eastAsia="仿宋_GB2312" w:hint="eastAsia"/>
          <w:sz w:val="32"/>
          <w:szCs w:val="32"/>
        </w:rPr>
        <w:t>之间，由此显示学生对教师的教学态度充分的肯定，对教师的教学内容、教学方法和教学管理的满意度仍偏低，需要广大教师加以提高；其中学生对个人课程收获评价最低，说明学生对个人课程收获的整体满意度较低，距离学生自己的期望值还有差距。</w:t>
      </w:r>
    </w:p>
    <w:p w:rsidR="00C47CD0" w:rsidRDefault="00081AE9">
      <w:pPr>
        <w:pStyle w:val="1"/>
        <w:jc w:val="center"/>
      </w:pPr>
      <w:r>
        <w:rPr>
          <w:rFonts w:ascii="仿宋_GB2312" w:eastAsia="仿宋_GB2312"/>
          <w:sz w:val="32"/>
          <w:szCs w:val="32"/>
        </w:rPr>
        <w:br w:type="page"/>
      </w:r>
      <w:bookmarkStart w:id="126" w:name="_Toc435713899"/>
      <w:bookmarkStart w:id="127" w:name="_Toc435713806"/>
      <w:r>
        <w:rPr>
          <w:rFonts w:hint="eastAsia"/>
        </w:rPr>
        <w:lastRenderedPageBreak/>
        <w:t>六、学生学习效果</w:t>
      </w:r>
      <w:bookmarkEnd w:id="126"/>
      <w:bookmarkEnd w:id="127"/>
    </w:p>
    <w:p w:rsidR="00C47CD0" w:rsidRDefault="00081AE9">
      <w:pPr>
        <w:ind w:firstLineChars="200" w:firstLine="640"/>
        <w:rPr>
          <w:rFonts w:ascii="仿宋_GB2312" w:eastAsia="仿宋_GB2312"/>
          <w:sz w:val="32"/>
          <w:szCs w:val="32"/>
        </w:rPr>
      </w:pPr>
      <w:r>
        <w:rPr>
          <w:rFonts w:ascii="仿宋_GB2312" w:eastAsia="仿宋_GB2312"/>
          <w:sz w:val="32"/>
          <w:szCs w:val="32"/>
        </w:rPr>
        <w:t>2015年应届本科毕业生3241人，有3174人当年获得毕业证书，占毕业生总数的97.93%，其中2950人获学士学位证书，占毕业生总数的92.94%</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2015届毕业生中290人深造攻读硕士学位。本科毕业生就业率88</w:t>
      </w:r>
      <w:r>
        <w:rPr>
          <w:rFonts w:ascii="仿宋_GB2312" w:eastAsia="仿宋_GB2312"/>
          <w:sz w:val="32"/>
          <w:szCs w:val="32"/>
        </w:rPr>
        <w:t>.</w:t>
      </w:r>
      <w:r>
        <w:rPr>
          <w:rFonts w:ascii="仿宋_GB2312" w:eastAsia="仿宋_GB2312" w:hint="eastAsia"/>
          <w:sz w:val="32"/>
          <w:szCs w:val="32"/>
        </w:rPr>
        <w:t>88%。</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2015届毕业生86人次参与发表学术论文55篇，其中31篇论文发表在核心期刊上，学生获准专利数25项。</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2015年，</w:t>
      </w:r>
      <w:r>
        <w:rPr>
          <w:rFonts w:ascii="仿宋_GB2312" w:eastAsia="仿宋_GB2312"/>
          <w:sz w:val="32"/>
          <w:szCs w:val="32"/>
        </w:rPr>
        <w:t>全校</w:t>
      </w:r>
      <w:r>
        <w:rPr>
          <w:rFonts w:ascii="仿宋_GB2312" w:eastAsia="仿宋_GB2312" w:hint="eastAsia"/>
          <w:sz w:val="32"/>
          <w:szCs w:val="32"/>
        </w:rPr>
        <w:t>获得</w:t>
      </w:r>
      <w:r>
        <w:rPr>
          <w:rFonts w:ascii="仿宋_GB2312" w:eastAsia="仿宋_GB2312"/>
          <w:sz w:val="32"/>
          <w:szCs w:val="32"/>
        </w:rPr>
        <w:t>各类学科竞赛</w:t>
      </w:r>
      <w:r>
        <w:rPr>
          <w:rFonts w:ascii="仿宋_GB2312" w:eastAsia="仿宋_GB2312" w:hint="eastAsia"/>
          <w:sz w:val="32"/>
          <w:szCs w:val="32"/>
        </w:rPr>
        <w:t>奖项193</w:t>
      </w:r>
      <w:r>
        <w:rPr>
          <w:rFonts w:ascii="仿宋_GB2312" w:eastAsia="仿宋_GB2312"/>
          <w:sz w:val="32"/>
          <w:szCs w:val="32"/>
        </w:rPr>
        <w:t>项，</w:t>
      </w:r>
      <w:r>
        <w:rPr>
          <w:rFonts w:ascii="仿宋_GB2312" w:eastAsia="仿宋_GB2312" w:hint="eastAsia"/>
          <w:sz w:val="32"/>
          <w:szCs w:val="32"/>
        </w:rPr>
        <w:t>其中国家</w:t>
      </w:r>
      <w:r>
        <w:rPr>
          <w:rFonts w:ascii="仿宋_GB2312" w:eastAsia="仿宋_GB2312"/>
          <w:sz w:val="32"/>
          <w:szCs w:val="32"/>
        </w:rPr>
        <w:t>级学科竞赛</w:t>
      </w:r>
      <w:r>
        <w:rPr>
          <w:rFonts w:ascii="仿宋_GB2312" w:eastAsia="仿宋_GB2312" w:hint="eastAsia"/>
          <w:sz w:val="32"/>
          <w:szCs w:val="32"/>
        </w:rPr>
        <w:t>62</w:t>
      </w:r>
      <w:r>
        <w:rPr>
          <w:rFonts w:ascii="仿宋_GB2312" w:eastAsia="仿宋_GB2312"/>
          <w:sz w:val="32"/>
          <w:szCs w:val="32"/>
        </w:rPr>
        <w:t>项，</w:t>
      </w:r>
      <w:r>
        <w:rPr>
          <w:rFonts w:ascii="仿宋_GB2312" w:eastAsia="仿宋_GB2312" w:hint="eastAsia"/>
          <w:sz w:val="32"/>
          <w:szCs w:val="32"/>
        </w:rPr>
        <w:t>省部</w:t>
      </w:r>
      <w:r>
        <w:rPr>
          <w:rFonts w:ascii="仿宋_GB2312" w:eastAsia="仿宋_GB2312"/>
          <w:sz w:val="32"/>
          <w:szCs w:val="32"/>
        </w:rPr>
        <w:t>级学科竞赛</w:t>
      </w:r>
      <w:r>
        <w:rPr>
          <w:rFonts w:ascii="仿宋_GB2312" w:eastAsia="仿宋_GB2312" w:hint="eastAsia"/>
          <w:sz w:val="32"/>
          <w:szCs w:val="32"/>
        </w:rPr>
        <w:t>131</w:t>
      </w:r>
      <w:r>
        <w:rPr>
          <w:rFonts w:ascii="仿宋_GB2312" w:eastAsia="仿宋_GB2312"/>
          <w:sz w:val="32"/>
          <w:szCs w:val="32"/>
        </w:rPr>
        <w:t>项，校级学科竞赛</w:t>
      </w:r>
      <w:r>
        <w:rPr>
          <w:rFonts w:ascii="仿宋_GB2312" w:eastAsia="仿宋_GB2312" w:hint="eastAsia"/>
          <w:sz w:val="32"/>
          <w:szCs w:val="32"/>
        </w:rPr>
        <w:t>89</w:t>
      </w:r>
      <w:r>
        <w:rPr>
          <w:rFonts w:ascii="仿宋_GB2312" w:eastAsia="仿宋_GB2312"/>
          <w:sz w:val="32"/>
          <w:szCs w:val="32"/>
        </w:rPr>
        <w:t>项。</w:t>
      </w:r>
      <w:r>
        <w:rPr>
          <w:rFonts w:ascii="仿宋_GB2312" w:eastAsia="仿宋_GB2312" w:hint="eastAsia"/>
          <w:sz w:val="32"/>
          <w:szCs w:val="32"/>
        </w:rPr>
        <w:t>获得本科生创新活动、技能竞赛获奖共计1</w:t>
      </w:r>
      <w:r>
        <w:rPr>
          <w:rFonts w:ascii="仿宋_GB2312" w:eastAsia="仿宋_GB2312"/>
          <w:sz w:val="32"/>
          <w:szCs w:val="32"/>
        </w:rPr>
        <w:t>2</w:t>
      </w:r>
      <w:r>
        <w:rPr>
          <w:rFonts w:ascii="仿宋_GB2312" w:eastAsia="仿宋_GB2312" w:hint="eastAsia"/>
          <w:sz w:val="32"/>
          <w:szCs w:val="32"/>
        </w:rPr>
        <w:t>项，其中国家级3项，省部级9项，校级1</w:t>
      </w:r>
      <w:r>
        <w:rPr>
          <w:rFonts w:ascii="仿宋_GB2312" w:eastAsia="仿宋_GB2312"/>
          <w:sz w:val="32"/>
          <w:szCs w:val="32"/>
        </w:rPr>
        <w:t>41</w:t>
      </w:r>
      <w:r>
        <w:rPr>
          <w:rFonts w:ascii="仿宋_GB2312" w:eastAsia="仿宋_GB2312" w:hint="eastAsia"/>
          <w:sz w:val="32"/>
          <w:szCs w:val="32"/>
        </w:rPr>
        <w:t>项。</w:t>
      </w:r>
    </w:p>
    <w:p w:rsidR="00C47CD0" w:rsidRDefault="00081AE9">
      <w:pPr>
        <w:ind w:firstLineChars="200" w:firstLine="640"/>
        <w:rPr>
          <w:rFonts w:ascii="仿宋_GB2312" w:eastAsia="仿宋_GB2312"/>
          <w:b/>
          <w:sz w:val="32"/>
          <w:szCs w:val="32"/>
        </w:rPr>
      </w:pPr>
      <w:r>
        <w:rPr>
          <w:rFonts w:ascii="仿宋_GB2312" w:eastAsia="仿宋_GB2312"/>
          <w:sz w:val="32"/>
          <w:szCs w:val="32"/>
        </w:rPr>
        <w:br w:type="page"/>
      </w:r>
      <w:bookmarkStart w:id="128" w:name="_Toc402443170"/>
      <w:bookmarkStart w:id="129" w:name="_Toc402443417"/>
      <w:bookmarkStart w:id="130" w:name="_Toc435713807"/>
      <w:bookmarkStart w:id="131" w:name="_Toc435713900"/>
      <w:bookmarkStart w:id="132" w:name="_Toc402374119"/>
      <w:r>
        <w:rPr>
          <w:rFonts w:ascii="仿宋_GB2312" w:eastAsia="仿宋_GB2312" w:hint="eastAsia"/>
          <w:b/>
          <w:sz w:val="32"/>
          <w:szCs w:val="32"/>
        </w:rPr>
        <w:lastRenderedPageBreak/>
        <w:t>（一）应届本科毕业生毕业及学位授予情况</w:t>
      </w:r>
      <w:bookmarkEnd w:id="128"/>
      <w:bookmarkEnd w:id="129"/>
      <w:bookmarkEnd w:id="130"/>
      <w:bookmarkEnd w:id="131"/>
      <w:bookmarkEnd w:id="132"/>
    </w:p>
    <w:p w:rsidR="00C47CD0" w:rsidRDefault="00081AE9">
      <w:pPr>
        <w:ind w:firstLineChars="200" w:firstLine="640"/>
        <w:rPr>
          <w:rFonts w:ascii="仿宋_GB2312" w:eastAsia="仿宋_GB2312"/>
          <w:sz w:val="32"/>
          <w:szCs w:val="32"/>
        </w:rPr>
      </w:pPr>
      <w:r>
        <w:rPr>
          <w:rFonts w:ascii="仿宋_GB2312" w:eastAsia="仿宋_GB2312"/>
          <w:sz w:val="32"/>
          <w:szCs w:val="32"/>
        </w:rPr>
        <w:t>2015年应届本科毕业生3241人，有3174人当年获得毕业证书，占毕业生总数的97.93%，其中2950人获学士学位证书，占毕业生总数的92.94%</w:t>
      </w:r>
      <w:r>
        <w:rPr>
          <w:rFonts w:ascii="仿宋_GB2312" w:eastAsia="仿宋_GB2312" w:hint="eastAsia"/>
          <w:sz w:val="32"/>
          <w:szCs w:val="32"/>
        </w:rPr>
        <w:t>。201</w:t>
      </w:r>
      <w:r>
        <w:rPr>
          <w:rFonts w:ascii="仿宋_GB2312" w:eastAsia="仿宋_GB2312"/>
          <w:sz w:val="32"/>
          <w:szCs w:val="32"/>
        </w:rPr>
        <w:t>5</w:t>
      </w:r>
      <w:r>
        <w:rPr>
          <w:rFonts w:ascii="仿宋_GB2312" w:eastAsia="仿宋_GB2312" w:hint="eastAsia"/>
          <w:sz w:val="32"/>
          <w:szCs w:val="32"/>
        </w:rPr>
        <w:t>届</w:t>
      </w:r>
      <w:r>
        <w:rPr>
          <w:rFonts w:ascii="仿宋_GB2312" w:eastAsia="仿宋_GB2312"/>
          <w:sz w:val="32"/>
          <w:szCs w:val="32"/>
        </w:rPr>
        <w:t>毕业</w:t>
      </w:r>
      <w:r>
        <w:rPr>
          <w:rFonts w:ascii="仿宋_GB2312" w:eastAsia="仿宋_GB2312" w:hint="eastAsia"/>
          <w:sz w:val="32"/>
          <w:szCs w:val="32"/>
        </w:rPr>
        <w:t>生体质健康测试达标率</w:t>
      </w:r>
      <w:r>
        <w:rPr>
          <w:rFonts w:ascii="仿宋_GB2312" w:eastAsia="仿宋_GB2312"/>
          <w:sz w:val="32"/>
          <w:szCs w:val="32"/>
        </w:rPr>
        <w:t>90.41</w:t>
      </w:r>
      <w:r>
        <w:rPr>
          <w:rFonts w:ascii="仿宋_GB2312" w:eastAsia="仿宋_GB2312" w:hint="eastAsia"/>
          <w:sz w:val="32"/>
          <w:szCs w:val="32"/>
        </w:rPr>
        <w:t>%。</w:t>
      </w:r>
    </w:p>
    <w:p w:rsidR="00C47CD0" w:rsidRDefault="00081AE9">
      <w:pPr>
        <w:autoSpaceDE w:val="0"/>
        <w:autoSpaceDN w:val="0"/>
        <w:ind w:firstLineChars="200" w:firstLine="643"/>
        <w:jc w:val="left"/>
        <w:outlineLvl w:val="1"/>
        <w:rPr>
          <w:rFonts w:ascii="仿宋_GB2312" w:eastAsia="仿宋_GB2312"/>
          <w:b/>
          <w:sz w:val="32"/>
          <w:szCs w:val="32"/>
        </w:rPr>
      </w:pPr>
      <w:bookmarkStart w:id="133" w:name="_Toc402374120"/>
      <w:bookmarkStart w:id="134" w:name="_Toc402443171"/>
      <w:bookmarkStart w:id="135" w:name="_Toc402443418"/>
      <w:bookmarkStart w:id="136" w:name="_Toc435713901"/>
      <w:bookmarkStart w:id="137" w:name="_Toc435713808"/>
      <w:r>
        <w:rPr>
          <w:rFonts w:ascii="仿宋_GB2312" w:eastAsia="仿宋_GB2312" w:hint="eastAsia"/>
          <w:b/>
          <w:sz w:val="32"/>
          <w:szCs w:val="32"/>
        </w:rPr>
        <w:t>（二）考取研究生情况</w:t>
      </w:r>
      <w:bookmarkEnd w:id="133"/>
      <w:bookmarkEnd w:id="134"/>
      <w:bookmarkEnd w:id="135"/>
      <w:bookmarkEnd w:id="136"/>
      <w:bookmarkEnd w:id="137"/>
    </w:p>
    <w:p w:rsidR="00C47CD0" w:rsidRDefault="00081AE9">
      <w:pPr>
        <w:widowControl/>
        <w:ind w:firstLineChars="200" w:firstLine="640"/>
        <w:rPr>
          <w:rFonts w:ascii="仿宋_GB2312" w:eastAsia="仿宋_GB2312"/>
          <w:sz w:val="32"/>
          <w:szCs w:val="32"/>
        </w:rPr>
      </w:pPr>
      <w:r>
        <w:rPr>
          <w:rFonts w:ascii="仿宋_GB2312" w:eastAsia="仿宋_GB2312" w:hint="eastAsia"/>
          <w:sz w:val="32"/>
          <w:szCs w:val="32"/>
        </w:rPr>
        <w:t>2015年应届本科毕业生中有290人考取研究生，深造攻读硕士学位，其中121名学生为推免生。290名研究生中，191名为本校研究生，还有99名学生考取了中国农业大学、四川大学、西北农林科技大学、南京农业大学等“985”或“211”高校。</w:t>
      </w:r>
    </w:p>
    <w:p w:rsidR="00C47CD0" w:rsidRDefault="00081AE9">
      <w:pPr>
        <w:autoSpaceDE w:val="0"/>
        <w:autoSpaceDN w:val="0"/>
        <w:ind w:firstLineChars="200" w:firstLine="643"/>
        <w:jc w:val="left"/>
        <w:outlineLvl w:val="1"/>
        <w:rPr>
          <w:rFonts w:ascii="仿宋_GB2312" w:eastAsia="仿宋_GB2312"/>
          <w:b/>
          <w:sz w:val="32"/>
          <w:szCs w:val="32"/>
        </w:rPr>
      </w:pPr>
      <w:bookmarkStart w:id="138" w:name="_Toc435713902"/>
      <w:bookmarkStart w:id="139" w:name="_Toc435713809"/>
      <w:bookmarkStart w:id="140" w:name="_Toc402443419"/>
      <w:bookmarkStart w:id="141" w:name="_Toc402443172"/>
      <w:bookmarkStart w:id="142" w:name="_Toc402374121"/>
      <w:r>
        <w:rPr>
          <w:rFonts w:ascii="仿宋_GB2312" w:eastAsia="仿宋_GB2312" w:hint="eastAsia"/>
          <w:b/>
          <w:sz w:val="32"/>
          <w:szCs w:val="32"/>
        </w:rPr>
        <w:t>（三）学科竞赛获奖情况</w:t>
      </w:r>
      <w:bookmarkEnd w:id="138"/>
      <w:bookmarkEnd w:id="139"/>
      <w:bookmarkEnd w:id="140"/>
      <w:bookmarkEnd w:id="141"/>
      <w:bookmarkEnd w:id="142"/>
    </w:p>
    <w:p w:rsidR="00C47CD0" w:rsidRDefault="00081AE9">
      <w:pPr>
        <w:widowControl/>
        <w:ind w:firstLineChars="250" w:firstLine="800"/>
        <w:rPr>
          <w:rFonts w:ascii="仿宋_GB2312" w:eastAsia="仿宋_GB2312"/>
          <w:sz w:val="32"/>
          <w:szCs w:val="32"/>
        </w:rPr>
      </w:pPr>
      <w:r>
        <w:rPr>
          <w:rFonts w:ascii="仿宋_GB2312" w:eastAsia="仿宋_GB2312" w:hint="eastAsia"/>
          <w:sz w:val="32"/>
          <w:szCs w:val="32"/>
        </w:rPr>
        <w:t>2015年，</w:t>
      </w:r>
      <w:r>
        <w:rPr>
          <w:rFonts w:ascii="仿宋_GB2312" w:eastAsia="仿宋_GB2312"/>
          <w:sz w:val="32"/>
          <w:szCs w:val="32"/>
        </w:rPr>
        <w:t>全校</w:t>
      </w:r>
      <w:r>
        <w:rPr>
          <w:rFonts w:ascii="仿宋_GB2312" w:eastAsia="仿宋_GB2312" w:hint="eastAsia"/>
          <w:sz w:val="32"/>
          <w:szCs w:val="32"/>
        </w:rPr>
        <w:t>获得</w:t>
      </w:r>
      <w:r>
        <w:rPr>
          <w:rFonts w:ascii="仿宋_GB2312" w:eastAsia="仿宋_GB2312"/>
          <w:sz w:val="32"/>
          <w:szCs w:val="32"/>
        </w:rPr>
        <w:t>各类学科竞赛</w:t>
      </w:r>
      <w:r>
        <w:rPr>
          <w:rFonts w:ascii="仿宋_GB2312" w:eastAsia="仿宋_GB2312" w:hint="eastAsia"/>
          <w:sz w:val="32"/>
          <w:szCs w:val="32"/>
        </w:rPr>
        <w:t>奖项193</w:t>
      </w:r>
      <w:r>
        <w:rPr>
          <w:rFonts w:ascii="仿宋_GB2312" w:eastAsia="仿宋_GB2312"/>
          <w:sz w:val="32"/>
          <w:szCs w:val="32"/>
        </w:rPr>
        <w:t>项，</w:t>
      </w:r>
      <w:r>
        <w:rPr>
          <w:rFonts w:ascii="仿宋_GB2312" w:eastAsia="仿宋_GB2312" w:hint="eastAsia"/>
          <w:sz w:val="32"/>
          <w:szCs w:val="32"/>
        </w:rPr>
        <w:t>其中国家</w:t>
      </w:r>
      <w:r>
        <w:rPr>
          <w:rFonts w:ascii="仿宋_GB2312" w:eastAsia="仿宋_GB2312"/>
          <w:sz w:val="32"/>
          <w:szCs w:val="32"/>
        </w:rPr>
        <w:t>级学科竞赛</w:t>
      </w:r>
      <w:r>
        <w:rPr>
          <w:rFonts w:ascii="仿宋_GB2312" w:eastAsia="仿宋_GB2312" w:hint="eastAsia"/>
          <w:sz w:val="32"/>
          <w:szCs w:val="32"/>
        </w:rPr>
        <w:t>62</w:t>
      </w:r>
      <w:r>
        <w:rPr>
          <w:rFonts w:ascii="仿宋_GB2312" w:eastAsia="仿宋_GB2312"/>
          <w:sz w:val="32"/>
          <w:szCs w:val="32"/>
        </w:rPr>
        <w:t>项，</w:t>
      </w:r>
      <w:r>
        <w:rPr>
          <w:rFonts w:ascii="仿宋_GB2312" w:eastAsia="仿宋_GB2312" w:hint="eastAsia"/>
          <w:sz w:val="32"/>
          <w:szCs w:val="32"/>
        </w:rPr>
        <w:t>省部</w:t>
      </w:r>
      <w:r>
        <w:rPr>
          <w:rFonts w:ascii="仿宋_GB2312" w:eastAsia="仿宋_GB2312"/>
          <w:sz w:val="32"/>
          <w:szCs w:val="32"/>
        </w:rPr>
        <w:t>级学科竞赛</w:t>
      </w:r>
      <w:r>
        <w:rPr>
          <w:rFonts w:ascii="仿宋_GB2312" w:eastAsia="仿宋_GB2312" w:hint="eastAsia"/>
          <w:sz w:val="32"/>
          <w:szCs w:val="32"/>
        </w:rPr>
        <w:t>131</w:t>
      </w:r>
      <w:r>
        <w:rPr>
          <w:rFonts w:ascii="仿宋_GB2312" w:eastAsia="仿宋_GB2312"/>
          <w:sz w:val="32"/>
          <w:szCs w:val="32"/>
        </w:rPr>
        <w:t>项，校级学科竞赛</w:t>
      </w:r>
      <w:r>
        <w:rPr>
          <w:rFonts w:ascii="仿宋_GB2312" w:eastAsia="仿宋_GB2312" w:hint="eastAsia"/>
          <w:sz w:val="32"/>
          <w:szCs w:val="32"/>
        </w:rPr>
        <w:t>89</w:t>
      </w:r>
      <w:r>
        <w:rPr>
          <w:rFonts w:ascii="仿宋_GB2312" w:eastAsia="仿宋_GB2312"/>
          <w:sz w:val="32"/>
          <w:szCs w:val="32"/>
        </w:rPr>
        <w:t>项。</w:t>
      </w:r>
      <w:r>
        <w:rPr>
          <w:rFonts w:ascii="仿宋_GB2312" w:eastAsia="仿宋_GB2312" w:hint="eastAsia"/>
          <w:sz w:val="32"/>
          <w:szCs w:val="32"/>
        </w:rPr>
        <w:t>获得本科生创新活动、技能竞赛获奖共计1</w:t>
      </w:r>
      <w:r>
        <w:rPr>
          <w:rFonts w:ascii="仿宋_GB2312" w:eastAsia="仿宋_GB2312"/>
          <w:sz w:val="32"/>
          <w:szCs w:val="32"/>
        </w:rPr>
        <w:t>2</w:t>
      </w:r>
      <w:r>
        <w:rPr>
          <w:rFonts w:ascii="仿宋_GB2312" w:eastAsia="仿宋_GB2312" w:hint="eastAsia"/>
          <w:sz w:val="32"/>
          <w:szCs w:val="32"/>
        </w:rPr>
        <w:t>项，其中国家级3项，省部级9项，校级1</w:t>
      </w:r>
      <w:r>
        <w:rPr>
          <w:rFonts w:ascii="仿宋_GB2312" w:eastAsia="仿宋_GB2312"/>
          <w:sz w:val="32"/>
          <w:szCs w:val="32"/>
        </w:rPr>
        <w:t>41</w:t>
      </w:r>
      <w:r>
        <w:rPr>
          <w:rFonts w:ascii="仿宋_GB2312" w:eastAsia="仿宋_GB2312" w:hint="eastAsia"/>
          <w:sz w:val="32"/>
          <w:szCs w:val="32"/>
        </w:rPr>
        <w:t>项。</w:t>
      </w:r>
    </w:p>
    <w:p w:rsidR="00C47CD0" w:rsidRDefault="00081AE9">
      <w:pPr>
        <w:widowControl/>
        <w:ind w:firstLineChars="250" w:firstLine="800"/>
        <w:rPr>
          <w:rFonts w:ascii="仿宋_GB2312" w:eastAsia="仿宋_GB2312"/>
          <w:sz w:val="32"/>
          <w:szCs w:val="32"/>
        </w:rPr>
      </w:pPr>
      <w:r>
        <w:rPr>
          <w:rFonts w:ascii="仿宋_GB2312" w:eastAsia="仿宋_GB2312" w:hint="eastAsia"/>
          <w:sz w:val="32"/>
          <w:szCs w:val="32"/>
        </w:rPr>
        <w:t>全国大学生电子竞赛二等</w:t>
      </w:r>
      <w:r>
        <w:rPr>
          <w:rFonts w:ascii="仿宋_GB2312" w:eastAsia="仿宋_GB2312"/>
          <w:sz w:val="32"/>
          <w:szCs w:val="32"/>
        </w:rPr>
        <w:t>奖</w:t>
      </w:r>
      <w:r>
        <w:rPr>
          <w:rFonts w:ascii="仿宋_GB2312" w:eastAsia="仿宋_GB2312" w:hint="eastAsia"/>
          <w:sz w:val="32"/>
          <w:szCs w:val="32"/>
        </w:rPr>
        <w:t>；第六届全国高等院校学生“斯维尔杯”建筑信息模型(BIM)应用技能大赛二等奖；第十届全国周培源大学生力学竞赛三等奖；第四届全国大学生水利创新设计大赛一等奖</w:t>
      </w:r>
      <w:r>
        <w:rPr>
          <w:rFonts w:ascii="仿宋_GB2312" w:eastAsia="仿宋_GB2312"/>
          <w:sz w:val="32"/>
          <w:szCs w:val="32"/>
        </w:rPr>
        <w:t>；</w:t>
      </w:r>
      <w:r>
        <w:rPr>
          <w:rFonts w:ascii="仿宋_GB2312" w:eastAsia="仿宋_GB2312" w:hint="eastAsia"/>
          <w:sz w:val="32"/>
          <w:szCs w:val="32"/>
        </w:rPr>
        <w:t>第四届全国大学生水利创新设计大赛一等奖</w:t>
      </w:r>
      <w:r>
        <w:rPr>
          <w:rFonts w:ascii="仿宋_GB2312" w:eastAsia="仿宋_GB2312"/>
          <w:sz w:val="32"/>
          <w:szCs w:val="32"/>
        </w:rPr>
        <w:t>、二等奖各一项；</w:t>
      </w:r>
      <w:r>
        <w:rPr>
          <w:rFonts w:ascii="仿宋_GB2312" w:eastAsia="仿宋_GB2312" w:hint="eastAsia"/>
          <w:sz w:val="32"/>
          <w:szCs w:val="32"/>
        </w:rPr>
        <w:t>第二届全国大学生生态环境科技创新大赛二等奖</w:t>
      </w:r>
      <w:r>
        <w:rPr>
          <w:rFonts w:ascii="仿宋_GB2312" w:eastAsia="仿宋_GB2312"/>
          <w:sz w:val="32"/>
          <w:szCs w:val="32"/>
        </w:rPr>
        <w:t>；</w:t>
      </w:r>
      <w:r>
        <w:rPr>
          <w:rFonts w:ascii="仿宋_GB2312" w:eastAsia="仿宋_GB2312" w:hint="eastAsia"/>
          <w:sz w:val="32"/>
          <w:szCs w:val="32"/>
        </w:rPr>
        <w:t>2015年全国飞思卡尔智能车大赛优胜</w:t>
      </w:r>
      <w:r>
        <w:rPr>
          <w:rFonts w:ascii="仿宋_GB2312" w:eastAsia="仿宋_GB2312" w:hint="eastAsia"/>
          <w:sz w:val="32"/>
          <w:szCs w:val="32"/>
        </w:rPr>
        <w:lastRenderedPageBreak/>
        <w:t>奖；2015年中国机器人大赛暨RoboCup公开赛/中国工程机器人大赛暨国际公开赛二等奖</w:t>
      </w:r>
      <w:r>
        <w:rPr>
          <w:rFonts w:ascii="仿宋_GB2312" w:eastAsia="仿宋_GB2312"/>
          <w:sz w:val="32"/>
          <w:szCs w:val="32"/>
        </w:rPr>
        <w:t>、三等奖各一项；</w:t>
      </w:r>
      <w:r>
        <w:rPr>
          <w:rFonts w:ascii="仿宋_GB2312" w:eastAsia="仿宋_GB2312" w:hint="eastAsia"/>
          <w:sz w:val="32"/>
          <w:szCs w:val="32"/>
        </w:rPr>
        <w:t>全国三维数字化创新设计大赛二等</w:t>
      </w:r>
      <w:r>
        <w:rPr>
          <w:rFonts w:ascii="仿宋_GB2312" w:eastAsia="仿宋_GB2312"/>
          <w:sz w:val="32"/>
          <w:szCs w:val="32"/>
        </w:rPr>
        <w:t>奖、三等奖各一项；</w:t>
      </w:r>
      <w:r>
        <w:rPr>
          <w:rFonts w:ascii="仿宋_GB2312" w:eastAsia="仿宋_GB2312" w:hint="eastAsia"/>
          <w:sz w:val="32"/>
          <w:szCs w:val="32"/>
        </w:rPr>
        <w:t>高教社杯全国大学生数学建模竞赛二等奖；全国大学生英语竞赛一、二、三等奖</w:t>
      </w:r>
      <w:r>
        <w:rPr>
          <w:rFonts w:ascii="仿宋_GB2312" w:eastAsia="仿宋_GB2312"/>
          <w:sz w:val="32"/>
          <w:szCs w:val="32"/>
        </w:rPr>
        <w:t>。</w:t>
      </w:r>
    </w:p>
    <w:p w:rsidR="00C47CD0" w:rsidRDefault="00081AE9">
      <w:pPr>
        <w:ind w:firstLineChars="200" w:firstLine="640"/>
        <w:rPr>
          <w:rFonts w:ascii="仿宋_GB2312" w:eastAsia="仿宋_GB2312"/>
          <w:sz w:val="32"/>
          <w:szCs w:val="32"/>
        </w:rPr>
      </w:pPr>
      <w:r>
        <w:rPr>
          <w:rFonts w:ascii="仿宋_GB2312" w:eastAsia="仿宋_GB2312"/>
          <w:sz w:val="32"/>
          <w:szCs w:val="32"/>
        </w:rPr>
        <w:t>2015</w:t>
      </w:r>
      <w:r>
        <w:rPr>
          <w:rFonts w:ascii="仿宋_GB2312" w:eastAsia="仿宋_GB2312" w:hint="eastAsia"/>
          <w:sz w:val="32"/>
          <w:szCs w:val="32"/>
        </w:rPr>
        <w:t>年</w:t>
      </w:r>
      <w:r>
        <w:rPr>
          <w:rFonts w:ascii="仿宋_GB2312" w:eastAsia="仿宋_GB2312"/>
          <w:sz w:val="32"/>
          <w:szCs w:val="32"/>
        </w:rPr>
        <w:t>9</w:t>
      </w:r>
      <w:r>
        <w:rPr>
          <w:rFonts w:ascii="仿宋_GB2312" w:eastAsia="仿宋_GB2312" w:hint="eastAsia"/>
          <w:sz w:val="32"/>
          <w:szCs w:val="32"/>
        </w:rPr>
        <w:t>月由自治区教育厅等相关厅局共同举办的全国首届</w:t>
      </w:r>
      <w:r>
        <w:rPr>
          <w:rFonts w:ascii="仿宋_GB2312" w:eastAsia="仿宋_GB2312"/>
          <w:sz w:val="32"/>
          <w:szCs w:val="32"/>
        </w:rPr>
        <w:t xml:space="preserve"> </w:t>
      </w:r>
      <w:r>
        <w:rPr>
          <w:rFonts w:ascii="仿宋_GB2312" w:eastAsia="仿宋_GB2312" w:hint="eastAsia"/>
          <w:sz w:val="32"/>
          <w:szCs w:val="32"/>
        </w:rPr>
        <w:t>“互联网</w:t>
      </w:r>
      <w:r>
        <w:rPr>
          <w:rFonts w:ascii="仿宋_GB2312" w:eastAsia="仿宋_GB2312"/>
          <w:sz w:val="32"/>
          <w:szCs w:val="32"/>
        </w:rPr>
        <w:t>+</w:t>
      </w:r>
      <w:r>
        <w:rPr>
          <w:rFonts w:ascii="仿宋_GB2312" w:eastAsia="仿宋_GB2312" w:hint="eastAsia"/>
          <w:sz w:val="32"/>
          <w:szCs w:val="32"/>
        </w:rPr>
        <w:t>”大学生创新创业大赛新疆赛区选拔赛中，我校经过激烈的角逐，包揽了实践组一半奖项，其中，机交学院</w:t>
      </w:r>
      <w:r>
        <w:rPr>
          <w:rFonts w:ascii="仿宋_GB2312" w:eastAsia="仿宋_GB2312"/>
          <w:sz w:val="32"/>
          <w:szCs w:val="32"/>
        </w:rPr>
        <w:t>2014</w:t>
      </w:r>
      <w:r>
        <w:rPr>
          <w:rFonts w:ascii="仿宋_GB2312" w:eastAsia="仿宋_GB2312" w:hint="eastAsia"/>
          <w:sz w:val="32"/>
          <w:szCs w:val="32"/>
        </w:rPr>
        <w:t>级研究生艾力·如苏力的参赛项目“乌鲁木齐卡依娜特科技开发有限公司”获得了银奖（见图4），数理学院</w:t>
      </w:r>
      <w:r>
        <w:rPr>
          <w:rFonts w:ascii="仿宋_GB2312" w:eastAsia="仿宋_GB2312"/>
          <w:sz w:val="32"/>
          <w:szCs w:val="32"/>
        </w:rPr>
        <w:t>2011</w:t>
      </w:r>
      <w:r>
        <w:rPr>
          <w:rFonts w:ascii="仿宋_GB2312" w:eastAsia="仿宋_GB2312" w:hint="eastAsia"/>
          <w:sz w:val="32"/>
          <w:szCs w:val="32"/>
        </w:rPr>
        <w:t>届毕业生赵磊参赛项目“哈密瓜众筹”、外国语学院</w:t>
      </w:r>
      <w:r>
        <w:rPr>
          <w:rFonts w:ascii="仿宋_GB2312" w:eastAsia="仿宋_GB2312"/>
          <w:sz w:val="32"/>
          <w:szCs w:val="32"/>
        </w:rPr>
        <w:t>2013</w:t>
      </w:r>
      <w:r>
        <w:rPr>
          <w:rFonts w:ascii="仿宋_GB2312" w:eastAsia="仿宋_GB2312" w:hint="eastAsia"/>
          <w:sz w:val="32"/>
          <w:szCs w:val="32"/>
        </w:rPr>
        <w:t>届毕业生刘颖参赛项目“农田灌溉用全自动喷淋过滤器”分别获得了铜奖，艾力·如苏力同学将代表新疆赛区参加全国总决赛（见图5）。我校也是自治区首届互联网</w:t>
      </w:r>
      <w:r>
        <w:rPr>
          <w:rFonts w:ascii="仿宋_GB2312" w:eastAsia="仿宋_GB2312"/>
          <w:sz w:val="32"/>
          <w:szCs w:val="32"/>
        </w:rPr>
        <w:t>+</w:t>
      </w:r>
      <w:r>
        <w:rPr>
          <w:rFonts w:ascii="仿宋_GB2312" w:eastAsia="仿宋_GB2312" w:hint="eastAsia"/>
          <w:sz w:val="32"/>
          <w:szCs w:val="32"/>
        </w:rPr>
        <w:t>创新创业大赛中参赛项目最多、获奖数量最多、获奖级别最高的高校。</w:t>
      </w:r>
    </w:p>
    <w:p w:rsidR="00C47CD0" w:rsidRDefault="00081AE9">
      <w:pPr>
        <w:pStyle w:val="13"/>
        <w:ind w:firstLineChars="0" w:firstLine="0"/>
        <w:rPr>
          <w:rFonts w:ascii="仿宋_GB2312" w:eastAsia="仿宋_GB2312" w:hAnsi="仿宋_GB2312" w:cs="仿宋_GB2312"/>
          <w:sz w:val="24"/>
        </w:rPr>
      </w:pPr>
      <w:r>
        <w:rPr>
          <w:rFonts w:ascii="仿宋_GB2312" w:eastAsia="仿宋_GB2312" w:hAnsi="仿宋_GB2312" w:cs="仿宋_GB2312"/>
          <w:noProof/>
          <w:sz w:val="24"/>
        </w:rPr>
        <w:lastRenderedPageBreak/>
        <w:drawing>
          <wp:inline distT="0" distB="0" distL="0" distR="0">
            <wp:extent cx="5313680" cy="3442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srcRect/>
                    <a:stretch>
                      <a:fillRect/>
                    </a:stretch>
                  </pic:blipFill>
                  <pic:spPr>
                    <a:xfrm>
                      <a:off x="0" y="0"/>
                      <a:ext cx="5314046" cy="3443591"/>
                    </a:xfrm>
                    <a:prstGeom prst="rect">
                      <a:avLst/>
                    </a:prstGeom>
                    <a:noFill/>
                    <a:ln w="9525">
                      <a:noFill/>
                      <a:miter lim="800000"/>
                      <a:headEnd/>
                      <a:tailEnd/>
                    </a:ln>
                  </pic:spPr>
                </pic:pic>
              </a:graphicData>
            </a:graphic>
          </wp:inline>
        </w:drawing>
      </w:r>
    </w:p>
    <w:p w:rsidR="00C47CD0" w:rsidRDefault="00081AE9">
      <w:pPr>
        <w:jc w:val="center"/>
        <w:rPr>
          <w:rFonts w:ascii="宋体" w:hAnsi="宋体"/>
          <w:b/>
          <w:sz w:val="28"/>
          <w:szCs w:val="28"/>
        </w:rPr>
      </w:pPr>
      <w:r>
        <w:rPr>
          <w:rFonts w:ascii="宋体" w:hAnsi="宋体" w:hint="eastAsia"/>
          <w:sz w:val="28"/>
          <w:szCs w:val="28"/>
        </w:rPr>
        <w:t>图4</w:t>
      </w:r>
      <w:r>
        <w:rPr>
          <w:rFonts w:ascii="宋体" w:hAnsi="宋体"/>
          <w:sz w:val="28"/>
          <w:szCs w:val="28"/>
        </w:rPr>
        <w:t xml:space="preserve">  </w:t>
      </w:r>
      <w:r>
        <w:rPr>
          <w:rFonts w:ascii="宋体" w:hAnsi="宋体" w:hint="eastAsia"/>
          <w:b/>
          <w:sz w:val="28"/>
          <w:szCs w:val="28"/>
        </w:rPr>
        <w:t>学生参加新疆赛区“互联网</w:t>
      </w:r>
      <w:r>
        <w:rPr>
          <w:rFonts w:ascii="宋体" w:hAnsi="宋体"/>
          <w:b/>
          <w:sz w:val="28"/>
          <w:szCs w:val="28"/>
        </w:rPr>
        <w:t>+</w:t>
      </w:r>
      <w:r>
        <w:rPr>
          <w:rFonts w:ascii="宋体" w:hAnsi="宋体" w:hint="eastAsia"/>
          <w:b/>
          <w:sz w:val="28"/>
          <w:szCs w:val="28"/>
        </w:rPr>
        <w:t>”大学生创新创业大赛</w:t>
      </w:r>
    </w:p>
    <w:p w:rsidR="00C47CD0" w:rsidRDefault="00081AE9">
      <w:pPr>
        <w:pStyle w:val="13"/>
        <w:ind w:firstLineChars="0" w:firstLine="0"/>
        <w:rPr>
          <w:rFonts w:ascii="仿宋_GB2312" w:eastAsia="仿宋_GB2312" w:hAnsi="仿宋_GB2312" w:cs="仿宋_GB2312"/>
          <w:sz w:val="24"/>
        </w:rPr>
      </w:pPr>
      <w:r>
        <w:rPr>
          <w:rFonts w:ascii="仿宋_GB2312" w:eastAsia="仿宋_GB2312" w:hAnsi="仿宋_GB2312" w:cs="仿宋_GB2312"/>
          <w:noProof/>
          <w:sz w:val="24"/>
        </w:rPr>
        <w:drawing>
          <wp:inline distT="0" distB="0" distL="0" distR="0">
            <wp:extent cx="5293995" cy="3592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srcRect/>
                    <a:stretch>
                      <a:fillRect/>
                    </a:stretch>
                  </pic:blipFill>
                  <pic:spPr>
                    <a:xfrm>
                      <a:off x="0" y="0"/>
                      <a:ext cx="5307582" cy="3601974"/>
                    </a:xfrm>
                    <a:prstGeom prst="rect">
                      <a:avLst/>
                    </a:prstGeom>
                    <a:noFill/>
                    <a:ln w="9525">
                      <a:noFill/>
                      <a:miter lim="800000"/>
                      <a:headEnd/>
                      <a:tailEnd/>
                    </a:ln>
                  </pic:spPr>
                </pic:pic>
              </a:graphicData>
            </a:graphic>
          </wp:inline>
        </w:drawing>
      </w:r>
    </w:p>
    <w:p w:rsidR="00C47CD0" w:rsidRDefault="00081AE9">
      <w:pPr>
        <w:pStyle w:val="13"/>
        <w:ind w:left="480" w:firstLineChars="0" w:firstLine="0"/>
        <w:rPr>
          <w:rFonts w:ascii="宋体" w:hAnsi="宋体"/>
          <w:sz w:val="28"/>
          <w:szCs w:val="28"/>
        </w:rPr>
      </w:pPr>
      <w:r>
        <w:rPr>
          <w:rFonts w:ascii="宋体" w:hAnsi="宋体" w:hint="eastAsia"/>
          <w:sz w:val="28"/>
          <w:szCs w:val="28"/>
        </w:rPr>
        <w:t xml:space="preserve">图5   </w:t>
      </w:r>
      <w:r>
        <w:rPr>
          <w:rFonts w:ascii="宋体" w:hAnsi="宋体" w:hint="eastAsia"/>
          <w:b/>
          <w:sz w:val="28"/>
          <w:szCs w:val="28"/>
        </w:rPr>
        <w:t>学生在新疆赛区“互联网</w:t>
      </w:r>
      <w:r>
        <w:rPr>
          <w:rFonts w:ascii="宋体" w:hAnsi="宋体"/>
          <w:b/>
          <w:sz w:val="28"/>
          <w:szCs w:val="28"/>
        </w:rPr>
        <w:t>+</w:t>
      </w:r>
      <w:r>
        <w:rPr>
          <w:rFonts w:ascii="宋体" w:hAnsi="宋体" w:hint="eastAsia"/>
          <w:b/>
          <w:sz w:val="28"/>
          <w:szCs w:val="28"/>
        </w:rPr>
        <w:t>”大学生创新创业大赛中获奖</w:t>
      </w:r>
    </w:p>
    <w:p w:rsidR="00C47CD0" w:rsidRDefault="00081AE9">
      <w:pPr>
        <w:widowControl/>
        <w:ind w:firstLineChars="250" w:firstLine="800"/>
        <w:rPr>
          <w:rFonts w:ascii="仿宋_GB2312" w:eastAsia="仿宋_GB2312"/>
          <w:sz w:val="32"/>
          <w:szCs w:val="32"/>
        </w:rPr>
      </w:pPr>
      <w:r>
        <w:rPr>
          <w:rFonts w:ascii="仿宋_GB2312" w:eastAsia="仿宋_GB2312" w:hint="eastAsia"/>
          <w:sz w:val="32"/>
          <w:szCs w:val="32"/>
        </w:rPr>
        <w:t>同年</w:t>
      </w:r>
      <w:r>
        <w:rPr>
          <w:rFonts w:ascii="仿宋_GB2312" w:eastAsia="仿宋_GB2312"/>
          <w:sz w:val="32"/>
          <w:szCs w:val="32"/>
        </w:rPr>
        <w:t>10</w:t>
      </w:r>
      <w:r>
        <w:rPr>
          <w:rFonts w:ascii="仿宋_GB2312" w:eastAsia="仿宋_GB2312" w:hint="eastAsia"/>
          <w:sz w:val="32"/>
          <w:szCs w:val="32"/>
        </w:rPr>
        <w:t>月，首届中国“互联网</w:t>
      </w:r>
      <w:r>
        <w:rPr>
          <w:rFonts w:ascii="仿宋_GB2312" w:eastAsia="仿宋_GB2312"/>
          <w:sz w:val="32"/>
          <w:szCs w:val="32"/>
        </w:rPr>
        <w:t>+</w:t>
      </w:r>
      <w:r>
        <w:rPr>
          <w:rFonts w:ascii="仿宋_GB2312" w:eastAsia="仿宋_GB2312" w:hint="eastAsia"/>
          <w:sz w:val="32"/>
          <w:szCs w:val="32"/>
        </w:rPr>
        <w:t>”大学生创新创业大赛在吉林大学举办。我校参赛队“乌鲁木齐卡伊纳特科技开</w:t>
      </w:r>
      <w:r>
        <w:rPr>
          <w:rFonts w:ascii="仿宋_GB2312" w:eastAsia="仿宋_GB2312" w:hint="eastAsia"/>
          <w:sz w:val="32"/>
          <w:szCs w:val="32"/>
        </w:rPr>
        <w:lastRenderedPageBreak/>
        <w:t>发有限公司”，作为新疆赛区实践组项目中唯一入围全国</w:t>
      </w:r>
      <w:r>
        <w:rPr>
          <w:rFonts w:ascii="仿宋_GB2312" w:eastAsia="仿宋_GB2312"/>
          <w:sz w:val="32"/>
          <w:szCs w:val="32"/>
        </w:rPr>
        <w:t>100</w:t>
      </w:r>
      <w:r>
        <w:rPr>
          <w:rFonts w:ascii="仿宋_GB2312" w:eastAsia="仿宋_GB2312" w:hint="eastAsia"/>
          <w:sz w:val="32"/>
          <w:szCs w:val="32"/>
        </w:rPr>
        <w:t>强的参赛队伍，在全国大赛中获得银奖。中央中央政治局委员、国务院副总理刘延东接见了首届中国“互联网</w:t>
      </w:r>
      <w:r>
        <w:rPr>
          <w:rFonts w:ascii="仿宋_GB2312" w:eastAsia="仿宋_GB2312"/>
          <w:sz w:val="32"/>
          <w:szCs w:val="32"/>
        </w:rPr>
        <w:t>+</w:t>
      </w:r>
      <w:r>
        <w:rPr>
          <w:rFonts w:ascii="仿宋_GB2312" w:eastAsia="仿宋_GB2312" w:hint="eastAsia"/>
          <w:sz w:val="32"/>
          <w:szCs w:val="32"/>
        </w:rPr>
        <w:t>”大学生创新创业大赛前</w:t>
      </w:r>
      <w:r>
        <w:rPr>
          <w:rFonts w:ascii="仿宋_GB2312" w:eastAsia="仿宋_GB2312"/>
          <w:sz w:val="32"/>
          <w:szCs w:val="32"/>
        </w:rPr>
        <w:t>100</w:t>
      </w:r>
      <w:r>
        <w:rPr>
          <w:rFonts w:ascii="仿宋_GB2312" w:eastAsia="仿宋_GB2312" w:hint="eastAsia"/>
          <w:sz w:val="32"/>
          <w:szCs w:val="32"/>
        </w:rPr>
        <w:t>强获奖学生、指导老师和专家评委代表。大赛中，评委对我校参赛队“乌鲁木齐卡伊纳特科技开发有限公司”</w:t>
      </w:r>
      <w:r>
        <w:rPr>
          <w:rFonts w:ascii="仿宋_GB2312" w:eastAsia="仿宋_GB2312"/>
          <w:sz w:val="32"/>
          <w:szCs w:val="32"/>
        </w:rPr>
        <w:t xml:space="preserve"> </w:t>
      </w:r>
      <w:r>
        <w:rPr>
          <w:rFonts w:ascii="仿宋_GB2312" w:eastAsia="仿宋_GB2312" w:hint="eastAsia"/>
          <w:sz w:val="32"/>
          <w:szCs w:val="32"/>
        </w:rPr>
        <w:t>红外线馕坑项目非常感兴趣，并给予了好评，认为此项目既有民族特色也符合新疆区情，具有很好的发展前景（见图6、7）。</w:t>
      </w:r>
    </w:p>
    <w:p w:rsidR="00C47CD0" w:rsidRDefault="00081AE9">
      <w:pPr>
        <w:pStyle w:val="13"/>
        <w:ind w:firstLineChars="0" w:firstLine="0"/>
        <w:rPr>
          <w:rFonts w:ascii="仿宋_GB2312" w:eastAsia="仿宋_GB2312" w:hAnsi="仿宋_GB2312" w:cs="仿宋_GB2312"/>
          <w:sz w:val="24"/>
        </w:rPr>
      </w:pPr>
      <w:r>
        <w:rPr>
          <w:rFonts w:ascii="仿宋_GB2312" w:eastAsia="仿宋_GB2312" w:hAnsi="仿宋_GB2312" w:cs="仿宋_GB2312"/>
          <w:noProof/>
          <w:sz w:val="24"/>
        </w:rPr>
        <w:drawing>
          <wp:inline distT="0" distB="0" distL="0" distR="0">
            <wp:extent cx="5174615" cy="3456940"/>
            <wp:effectExtent l="0" t="0" r="0" b="0"/>
            <wp:docPr id="6" name="图片 6" descr="http://news.xjau.edu.cn/uploads/151022/5_1430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news.xjau.edu.cn/uploads/151022/5_143003_1.jpg"/>
                    <pic:cNvPicPr>
                      <a:picLocks noChangeAspect="1" noChangeArrowheads="1"/>
                    </pic:cNvPicPr>
                  </pic:nvPicPr>
                  <pic:blipFill>
                    <a:blip r:embed="rId17" cstate="print"/>
                    <a:srcRect/>
                    <a:stretch>
                      <a:fillRect/>
                    </a:stretch>
                  </pic:blipFill>
                  <pic:spPr>
                    <a:xfrm>
                      <a:off x="0" y="0"/>
                      <a:ext cx="5187112" cy="3465386"/>
                    </a:xfrm>
                    <a:prstGeom prst="rect">
                      <a:avLst/>
                    </a:prstGeom>
                    <a:noFill/>
                    <a:ln w="9525">
                      <a:noFill/>
                      <a:miter lim="800000"/>
                      <a:headEnd/>
                      <a:tailEnd/>
                    </a:ln>
                  </pic:spPr>
                </pic:pic>
              </a:graphicData>
            </a:graphic>
          </wp:inline>
        </w:drawing>
      </w:r>
    </w:p>
    <w:p w:rsidR="00C47CD0" w:rsidRDefault="00081AE9">
      <w:pPr>
        <w:pStyle w:val="13"/>
        <w:ind w:left="480" w:firstLineChars="0" w:firstLine="0"/>
        <w:rPr>
          <w:rFonts w:ascii="宋体" w:hAnsi="宋体"/>
          <w:b/>
          <w:sz w:val="28"/>
          <w:szCs w:val="28"/>
        </w:rPr>
      </w:pPr>
      <w:r>
        <w:rPr>
          <w:rFonts w:ascii="宋体" w:hAnsi="宋体" w:hint="eastAsia"/>
          <w:sz w:val="28"/>
          <w:szCs w:val="28"/>
        </w:rPr>
        <w:t xml:space="preserve">图6 </w:t>
      </w:r>
      <w:r>
        <w:rPr>
          <w:rFonts w:ascii="宋体" w:hAnsi="宋体"/>
          <w:sz w:val="28"/>
          <w:szCs w:val="28"/>
        </w:rPr>
        <w:t xml:space="preserve">   </w:t>
      </w:r>
      <w:r>
        <w:rPr>
          <w:rFonts w:ascii="宋体" w:hAnsi="宋体" w:hint="eastAsia"/>
          <w:b/>
          <w:sz w:val="28"/>
          <w:szCs w:val="28"/>
        </w:rPr>
        <w:t>学生参加首届中国“互联网</w:t>
      </w:r>
      <w:r>
        <w:rPr>
          <w:rFonts w:ascii="宋体" w:hAnsi="宋体"/>
          <w:b/>
          <w:sz w:val="28"/>
          <w:szCs w:val="28"/>
        </w:rPr>
        <w:t>+</w:t>
      </w:r>
      <w:r>
        <w:rPr>
          <w:rFonts w:ascii="宋体" w:hAnsi="宋体" w:hint="eastAsia"/>
          <w:b/>
          <w:sz w:val="28"/>
          <w:szCs w:val="28"/>
        </w:rPr>
        <w:t>”大学生创新创业大赛</w:t>
      </w:r>
    </w:p>
    <w:p w:rsidR="00C47CD0" w:rsidRDefault="00081AE9">
      <w:pPr>
        <w:ind w:left="315" w:hangingChars="150" w:hanging="315"/>
        <w:jc w:val="center"/>
        <w:rPr>
          <w:rFonts w:ascii="仿宋_GB2312" w:eastAsia="仿宋_GB2312" w:hAnsi="仿宋_GB2312" w:cs="仿宋_GB2312"/>
          <w:sz w:val="24"/>
        </w:rPr>
      </w:pPr>
      <w:r>
        <w:rPr>
          <w:noProof/>
        </w:rPr>
        <w:lastRenderedPageBreak/>
        <w:drawing>
          <wp:inline distT="0" distB="0" distL="0" distR="0">
            <wp:extent cx="5184775" cy="3463290"/>
            <wp:effectExtent l="0" t="0" r="0" b="0"/>
            <wp:docPr id="7" name="图片 7" descr="http://news.xjau.edu.cn/uploads/151022/5_1430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news.xjau.edu.cn/uploads/151022/5_143012_1.jpg"/>
                    <pic:cNvPicPr>
                      <a:picLocks noChangeAspect="1" noChangeArrowheads="1"/>
                    </pic:cNvPicPr>
                  </pic:nvPicPr>
                  <pic:blipFill>
                    <a:blip r:embed="rId18" cstate="print"/>
                    <a:srcRect/>
                    <a:stretch>
                      <a:fillRect/>
                    </a:stretch>
                  </pic:blipFill>
                  <pic:spPr>
                    <a:xfrm>
                      <a:off x="0" y="0"/>
                      <a:ext cx="5196356" cy="3471561"/>
                    </a:xfrm>
                    <a:prstGeom prst="rect">
                      <a:avLst/>
                    </a:prstGeom>
                    <a:noFill/>
                    <a:ln w="9525">
                      <a:noFill/>
                      <a:miter lim="800000"/>
                      <a:headEnd/>
                      <a:tailEnd/>
                    </a:ln>
                  </pic:spPr>
                </pic:pic>
              </a:graphicData>
            </a:graphic>
          </wp:inline>
        </w:drawing>
      </w:r>
    </w:p>
    <w:p w:rsidR="00C47CD0" w:rsidRDefault="00081AE9">
      <w:pPr>
        <w:jc w:val="center"/>
        <w:rPr>
          <w:rFonts w:ascii="宋体" w:hAnsi="宋体"/>
          <w:b/>
          <w:sz w:val="28"/>
          <w:szCs w:val="28"/>
        </w:rPr>
      </w:pPr>
      <w:r>
        <w:rPr>
          <w:rFonts w:ascii="宋体" w:hAnsi="宋体" w:hint="eastAsia"/>
          <w:sz w:val="28"/>
          <w:szCs w:val="28"/>
        </w:rPr>
        <w:t>图</w:t>
      </w:r>
      <w:r>
        <w:rPr>
          <w:rFonts w:ascii="宋体" w:hAnsi="宋体"/>
          <w:sz w:val="28"/>
          <w:szCs w:val="28"/>
        </w:rPr>
        <w:t xml:space="preserve">7    </w:t>
      </w:r>
      <w:r>
        <w:rPr>
          <w:rFonts w:ascii="宋体" w:hAnsi="宋体" w:hint="eastAsia"/>
          <w:b/>
          <w:sz w:val="28"/>
          <w:szCs w:val="28"/>
        </w:rPr>
        <w:t>前</w:t>
      </w:r>
      <w:r>
        <w:rPr>
          <w:rFonts w:ascii="宋体" w:hAnsi="宋体"/>
          <w:b/>
          <w:sz w:val="28"/>
          <w:szCs w:val="28"/>
        </w:rPr>
        <w:t>100</w:t>
      </w:r>
      <w:r>
        <w:rPr>
          <w:rFonts w:ascii="宋体" w:hAnsi="宋体" w:hint="eastAsia"/>
          <w:b/>
          <w:sz w:val="28"/>
          <w:szCs w:val="28"/>
        </w:rPr>
        <w:t>强参赛队伍的投资洽谈会</w:t>
      </w:r>
    </w:p>
    <w:p w:rsidR="00C47CD0" w:rsidRDefault="00081AE9">
      <w:pPr>
        <w:widowControl/>
        <w:ind w:firstLineChars="200" w:firstLine="640"/>
        <w:rPr>
          <w:rFonts w:ascii="仿宋_GB2312" w:eastAsia="仿宋_GB2312"/>
          <w:sz w:val="32"/>
          <w:szCs w:val="32"/>
        </w:rPr>
      </w:pPr>
      <w:r>
        <w:rPr>
          <w:rFonts w:ascii="仿宋_GB2312" w:eastAsia="仿宋_GB2312"/>
          <w:sz w:val="32"/>
          <w:szCs w:val="32"/>
        </w:rPr>
        <w:t>2015</w:t>
      </w:r>
      <w:r>
        <w:rPr>
          <w:rFonts w:ascii="仿宋_GB2312" w:eastAsia="仿宋_GB2312" w:hint="eastAsia"/>
          <w:sz w:val="32"/>
          <w:szCs w:val="32"/>
        </w:rPr>
        <w:t>年</w:t>
      </w:r>
      <w:r>
        <w:rPr>
          <w:rFonts w:ascii="仿宋_GB2312" w:eastAsia="仿宋_GB2312"/>
          <w:sz w:val="32"/>
          <w:szCs w:val="32"/>
        </w:rPr>
        <w:t>9</w:t>
      </w:r>
      <w:r>
        <w:rPr>
          <w:rFonts w:ascii="仿宋_GB2312" w:eastAsia="仿宋_GB2312" w:hint="eastAsia"/>
          <w:sz w:val="32"/>
          <w:szCs w:val="32"/>
        </w:rPr>
        <w:t>月由教育部主办、哈尔滨工业大学承办的以“青春、梦想、创新、创业”为主题的第八届全国大学生创新创业年会在哈尔滨工程大学举行，全国</w:t>
      </w:r>
      <w:r>
        <w:rPr>
          <w:rFonts w:ascii="仿宋_GB2312" w:eastAsia="仿宋_GB2312"/>
          <w:sz w:val="32"/>
          <w:szCs w:val="32"/>
        </w:rPr>
        <w:t>230</w:t>
      </w:r>
      <w:r>
        <w:rPr>
          <w:rFonts w:ascii="仿宋_GB2312" w:eastAsia="仿宋_GB2312" w:hint="eastAsia"/>
          <w:sz w:val="32"/>
          <w:szCs w:val="32"/>
        </w:rPr>
        <w:t>余所高校的师生，教育部、地方教育主管部门等相关领导，国家大学生创新创业训练计划专家组及协作组成员、企业界代表等</w:t>
      </w:r>
      <w:r>
        <w:rPr>
          <w:rFonts w:ascii="仿宋_GB2312" w:eastAsia="仿宋_GB2312"/>
          <w:sz w:val="32"/>
          <w:szCs w:val="32"/>
        </w:rPr>
        <w:t>1100</w:t>
      </w:r>
      <w:r>
        <w:rPr>
          <w:rFonts w:ascii="仿宋_GB2312" w:eastAsia="仿宋_GB2312" w:hint="eastAsia"/>
          <w:sz w:val="32"/>
          <w:szCs w:val="32"/>
        </w:rPr>
        <w:t>余人参加了会议。由我校管理学院副教授邵战林老师指导的、土管</w:t>
      </w:r>
      <w:r>
        <w:rPr>
          <w:rFonts w:ascii="仿宋_GB2312" w:eastAsia="仿宋_GB2312"/>
          <w:sz w:val="32"/>
          <w:szCs w:val="32"/>
        </w:rPr>
        <w:t>112</w:t>
      </w:r>
      <w:r>
        <w:rPr>
          <w:rFonts w:ascii="仿宋_GB2312" w:eastAsia="仿宋_GB2312" w:hint="eastAsia"/>
          <w:sz w:val="32"/>
          <w:szCs w:val="32"/>
        </w:rPr>
        <w:t>班学生范宇辉、唐亮主持的关于《尼勒克县喀拉苏乡抗震安居工程建设调研报告》国家级大学生创新创业训练计划项目获得创新创业项目展示参会资格，师生代表出席了年会（见图8）。</w:t>
      </w:r>
    </w:p>
    <w:p w:rsidR="00C47CD0" w:rsidRDefault="00081AE9">
      <w:pPr>
        <w:jc w:val="center"/>
        <w:rPr>
          <w:rFonts w:ascii="宋体" w:hAnsi="宋体"/>
          <w:b/>
          <w:sz w:val="28"/>
          <w:szCs w:val="28"/>
        </w:rPr>
      </w:pPr>
      <w:r>
        <w:rPr>
          <w:rFonts w:ascii="宋体" w:hAnsi="宋体" w:hint="eastAsia"/>
          <w:sz w:val="28"/>
          <w:szCs w:val="28"/>
        </w:rPr>
        <w:lastRenderedPageBreak/>
        <w:t xml:space="preserve">图8   </w:t>
      </w:r>
      <w:r>
        <w:rPr>
          <w:rFonts w:ascii="宋体" w:hAnsi="宋体" w:hint="eastAsia"/>
          <w:b/>
          <w:sz w:val="28"/>
          <w:szCs w:val="28"/>
        </w:rPr>
        <w:t xml:space="preserve"> 参加首届中国“互联网</w:t>
      </w:r>
      <w:r>
        <w:rPr>
          <w:rFonts w:ascii="宋体" w:hAnsi="宋体"/>
          <w:b/>
          <w:sz w:val="28"/>
          <w:szCs w:val="28"/>
        </w:rPr>
        <w:t>+</w:t>
      </w:r>
      <w:r>
        <w:rPr>
          <w:rFonts w:ascii="宋体" w:hAnsi="宋体" w:hint="eastAsia"/>
          <w:b/>
          <w:sz w:val="28"/>
          <w:szCs w:val="28"/>
        </w:rPr>
        <w:t>”大学生创新创业大赛选手</w:t>
      </w:r>
      <w:r>
        <w:rPr>
          <w:rFonts w:ascii="宋体" w:hAnsi="宋体"/>
          <w:b/>
          <w:noProof/>
          <w:sz w:val="28"/>
          <w:szCs w:val="28"/>
        </w:rPr>
        <w:drawing>
          <wp:anchor distT="0" distB="0" distL="114300" distR="114300" simplePos="0" relativeHeight="251657216" behindDoc="0" locked="0" layoutInCell="1" allowOverlap="1">
            <wp:simplePos x="0" y="0"/>
            <wp:positionH relativeFrom="column">
              <wp:posOffset>840740</wp:posOffset>
            </wp:positionH>
            <wp:positionV relativeFrom="paragraph">
              <wp:posOffset>-46355</wp:posOffset>
            </wp:positionV>
            <wp:extent cx="3601085" cy="4552315"/>
            <wp:effectExtent l="0" t="0" r="0" b="0"/>
            <wp:wrapTopAndBottom/>
            <wp:docPr id="8" name="图片 12" descr="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1905.JPG"/>
                    <pic:cNvPicPr>
                      <a:picLocks noChangeAspect="1" noChangeArrowheads="1"/>
                    </pic:cNvPicPr>
                  </pic:nvPicPr>
                  <pic:blipFill>
                    <a:blip r:embed="rId19" cstate="print"/>
                    <a:srcRect/>
                    <a:stretch>
                      <a:fillRect/>
                    </a:stretch>
                  </pic:blipFill>
                  <pic:spPr>
                    <a:xfrm>
                      <a:off x="0" y="0"/>
                      <a:ext cx="3601085" cy="4552315"/>
                    </a:xfrm>
                    <a:prstGeom prst="rect">
                      <a:avLst/>
                    </a:prstGeom>
                    <a:noFill/>
                  </pic:spPr>
                </pic:pic>
              </a:graphicData>
            </a:graphic>
          </wp:anchor>
        </w:drawing>
      </w:r>
    </w:p>
    <w:p w:rsidR="00C47CD0" w:rsidRDefault="00081AE9">
      <w:pPr>
        <w:autoSpaceDE w:val="0"/>
        <w:autoSpaceDN w:val="0"/>
        <w:ind w:firstLineChars="200" w:firstLine="643"/>
        <w:jc w:val="left"/>
        <w:outlineLvl w:val="1"/>
        <w:rPr>
          <w:rFonts w:ascii="仿宋_GB2312" w:eastAsia="仿宋_GB2312"/>
          <w:b/>
          <w:sz w:val="32"/>
          <w:szCs w:val="32"/>
        </w:rPr>
      </w:pPr>
      <w:bookmarkStart w:id="143" w:name="_Toc402374123"/>
      <w:bookmarkStart w:id="144" w:name="_Toc402443173"/>
      <w:bookmarkStart w:id="145" w:name="_Toc402443420"/>
      <w:bookmarkStart w:id="146" w:name="_Toc435713810"/>
      <w:bookmarkStart w:id="147" w:name="_Toc435713903"/>
      <w:r>
        <w:rPr>
          <w:rFonts w:ascii="仿宋_GB2312" w:eastAsia="仿宋_GB2312" w:hint="eastAsia"/>
          <w:b/>
          <w:sz w:val="32"/>
          <w:szCs w:val="32"/>
        </w:rPr>
        <w:t>（四）毕业设计（论文）情况</w:t>
      </w:r>
      <w:bookmarkEnd w:id="143"/>
      <w:bookmarkEnd w:id="144"/>
      <w:bookmarkEnd w:id="145"/>
      <w:bookmarkEnd w:id="146"/>
      <w:bookmarkEnd w:id="147"/>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2015年有124篇毕业设计（论文）获得了校级优秀毕业设计（论文）的奖励。一些学生的毕业设计被生产单位采用。2015届毕业生86人次参与发表学术论文55篇，其中31篇论文发表在核心期刊上，学生获准专利数25项。详见表12。</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表12   2015届毕业生在核心期刊发表论文的情况</w:t>
      </w:r>
    </w:p>
    <w:tbl>
      <w:tblPr>
        <w:tblW w:w="8522" w:type="dxa"/>
        <w:tblLayout w:type="fixed"/>
        <w:tblLook w:val="04A0" w:firstRow="1" w:lastRow="0" w:firstColumn="1" w:lastColumn="0" w:noHBand="0" w:noVBand="1"/>
      </w:tblPr>
      <w:tblGrid>
        <w:gridCol w:w="442"/>
        <w:gridCol w:w="1225"/>
        <w:gridCol w:w="994"/>
        <w:gridCol w:w="2836"/>
        <w:gridCol w:w="1132"/>
        <w:gridCol w:w="1135"/>
        <w:gridCol w:w="758"/>
      </w:tblGrid>
      <w:tr w:rsidR="00C47CD0">
        <w:trPr>
          <w:trHeight w:val="270"/>
          <w:tblHeader/>
        </w:trPr>
        <w:tc>
          <w:tcPr>
            <w:tcW w:w="442" w:type="dxa"/>
            <w:tcBorders>
              <w:top w:val="single" w:sz="4" w:space="0" w:color="auto"/>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序号</w:t>
            </w:r>
          </w:p>
        </w:tc>
        <w:tc>
          <w:tcPr>
            <w:tcW w:w="1225"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学生姓名</w:t>
            </w:r>
          </w:p>
        </w:tc>
        <w:tc>
          <w:tcPr>
            <w:tcW w:w="994"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班级</w:t>
            </w:r>
          </w:p>
        </w:tc>
        <w:tc>
          <w:tcPr>
            <w:tcW w:w="2836"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发表的论文名称</w:t>
            </w:r>
          </w:p>
        </w:tc>
        <w:tc>
          <w:tcPr>
            <w:tcW w:w="1132"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期刊名称</w:t>
            </w:r>
          </w:p>
        </w:tc>
        <w:tc>
          <w:tcPr>
            <w:tcW w:w="1135"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期号</w:t>
            </w:r>
          </w:p>
        </w:tc>
        <w:tc>
          <w:tcPr>
            <w:tcW w:w="758"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排名</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p>
        </w:tc>
        <w:tc>
          <w:tcPr>
            <w:tcW w:w="1225"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多来提白克</w:t>
            </w:r>
            <w:r>
              <w:rPr>
                <w:kern w:val="0"/>
                <w:szCs w:val="21"/>
              </w:rPr>
              <w:t>·</w:t>
            </w:r>
            <w:r>
              <w:rPr>
                <w:rFonts w:ascii="宋体" w:hAnsi="宋体" w:hint="eastAsia"/>
                <w:kern w:val="0"/>
                <w:szCs w:val="21"/>
              </w:rPr>
              <w:t>吐尔地买买提</w:t>
            </w:r>
          </w:p>
        </w:tc>
        <w:tc>
          <w:tcPr>
            <w:tcW w:w="994"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土木</w:t>
            </w:r>
            <w:r>
              <w:rPr>
                <w:kern w:val="0"/>
                <w:szCs w:val="21"/>
              </w:rPr>
              <w:t>101</w:t>
            </w:r>
          </w:p>
        </w:tc>
        <w:tc>
          <w:tcPr>
            <w:tcW w:w="2836"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钢渣混凝土梁与普通混凝土梁抗弯性能试验对比研究</w:t>
            </w:r>
          </w:p>
        </w:tc>
        <w:tc>
          <w:tcPr>
            <w:tcW w:w="1132"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新建农业大学学报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年第</w:t>
            </w:r>
            <w:r>
              <w:rPr>
                <w:kern w:val="0"/>
                <w:szCs w:val="21"/>
              </w:rPr>
              <w:t>37</w:t>
            </w:r>
            <w:r>
              <w:rPr>
                <w:rFonts w:ascii="宋体" w:hAnsi="宋体" w:hint="eastAsia"/>
                <w:kern w:val="0"/>
                <w:szCs w:val="21"/>
              </w:rPr>
              <w:t>卷第</w:t>
            </w:r>
            <w:r>
              <w:rPr>
                <w:kern w:val="0"/>
                <w:szCs w:val="21"/>
              </w:rPr>
              <w:t>6</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kern w:val="0"/>
                <w:szCs w:val="21"/>
              </w:rPr>
              <w:t>3</w:t>
            </w:r>
            <w:r>
              <w:rPr>
                <w:rFonts w:ascii="宋体" w:hAnsi="宋体" w:hint="eastAsia"/>
                <w:kern w:val="0"/>
                <w:szCs w:val="21"/>
              </w:rPr>
              <w:t>（</w:t>
            </w:r>
            <w:r>
              <w:rPr>
                <w:kern w:val="0"/>
                <w:szCs w:val="21"/>
              </w:rPr>
              <w:t>5</w:t>
            </w:r>
            <w:r>
              <w:rPr>
                <w:rFonts w:ascii="宋体" w:hAnsi="宋体" w:hint="eastAsia"/>
                <w:kern w:val="0"/>
                <w:szCs w:val="21"/>
              </w:rPr>
              <w:t>）</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w:t>
            </w:r>
          </w:p>
        </w:tc>
        <w:tc>
          <w:tcPr>
            <w:tcW w:w="1225"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伊孜木江</w:t>
            </w:r>
            <w:r>
              <w:rPr>
                <w:kern w:val="0"/>
                <w:szCs w:val="21"/>
              </w:rPr>
              <w:t>·</w:t>
            </w:r>
            <w:r>
              <w:rPr>
                <w:rFonts w:ascii="宋体" w:hAnsi="宋体" w:hint="eastAsia"/>
                <w:kern w:val="0"/>
                <w:szCs w:val="21"/>
              </w:rPr>
              <w:t>库纳吉</w:t>
            </w:r>
          </w:p>
        </w:tc>
        <w:tc>
          <w:tcPr>
            <w:tcW w:w="994"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土木</w:t>
            </w:r>
            <w:r>
              <w:rPr>
                <w:kern w:val="0"/>
                <w:szCs w:val="21"/>
              </w:rPr>
              <w:t>101</w:t>
            </w:r>
          </w:p>
        </w:tc>
        <w:tc>
          <w:tcPr>
            <w:tcW w:w="2836"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钢渣混凝土梁与普通混凝土梁抗弯性能试验对比研究</w:t>
            </w:r>
          </w:p>
        </w:tc>
        <w:tc>
          <w:tcPr>
            <w:tcW w:w="1132"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新建农业大学学报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年第</w:t>
            </w:r>
            <w:r>
              <w:rPr>
                <w:kern w:val="0"/>
                <w:szCs w:val="21"/>
              </w:rPr>
              <w:t>37</w:t>
            </w:r>
            <w:r>
              <w:rPr>
                <w:rFonts w:ascii="宋体" w:hAnsi="宋体" w:hint="eastAsia"/>
                <w:kern w:val="0"/>
                <w:szCs w:val="21"/>
              </w:rPr>
              <w:t>卷第</w:t>
            </w:r>
            <w:r>
              <w:rPr>
                <w:kern w:val="0"/>
                <w:szCs w:val="21"/>
              </w:rPr>
              <w:t>6</w:t>
            </w:r>
            <w:r>
              <w:rPr>
                <w:rFonts w:ascii="宋体" w:hAnsi="宋体" w:hint="eastAsia"/>
                <w:kern w:val="0"/>
                <w:szCs w:val="21"/>
              </w:rPr>
              <w:lastRenderedPageBreak/>
              <w:t>期</w:t>
            </w:r>
          </w:p>
        </w:tc>
        <w:tc>
          <w:tcPr>
            <w:tcW w:w="758"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kern w:val="0"/>
                <w:szCs w:val="21"/>
              </w:rPr>
              <w:lastRenderedPageBreak/>
              <w:t>4(5)</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w:t>
            </w:r>
          </w:p>
        </w:tc>
        <w:tc>
          <w:tcPr>
            <w:tcW w:w="1225"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阿依努尔</w:t>
            </w:r>
            <w:r>
              <w:rPr>
                <w:kern w:val="0"/>
                <w:szCs w:val="21"/>
              </w:rPr>
              <w:t>·</w:t>
            </w:r>
            <w:r>
              <w:rPr>
                <w:rFonts w:ascii="宋体" w:hAnsi="宋体" w:hint="eastAsia"/>
                <w:kern w:val="0"/>
                <w:szCs w:val="21"/>
              </w:rPr>
              <w:t>阿布来提</w:t>
            </w:r>
          </w:p>
        </w:tc>
        <w:tc>
          <w:tcPr>
            <w:tcW w:w="994"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土木</w:t>
            </w:r>
            <w:r>
              <w:rPr>
                <w:kern w:val="0"/>
                <w:szCs w:val="21"/>
              </w:rPr>
              <w:t>101</w:t>
            </w:r>
          </w:p>
        </w:tc>
        <w:tc>
          <w:tcPr>
            <w:tcW w:w="2836"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钢渣混凝土梁与普通混凝土梁抗弯性能试验对比研究</w:t>
            </w:r>
          </w:p>
        </w:tc>
        <w:tc>
          <w:tcPr>
            <w:tcW w:w="1132"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rFonts w:ascii="宋体" w:hAnsi="宋体" w:hint="eastAsia"/>
                <w:kern w:val="0"/>
                <w:szCs w:val="21"/>
              </w:rPr>
              <w:t>新建农业大学学报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年第</w:t>
            </w:r>
            <w:r>
              <w:rPr>
                <w:kern w:val="0"/>
                <w:szCs w:val="21"/>
              </w:rPr>
              <w:t>37</w:t>
            </w:r>
            <w:r>
              <w:rPr>
                <w:rFonts w:ascii="宋体" w:hAnsi="宋体" w:hint="eastAsia"/>
                <w:kern w:val="0"/>
                <w:szCs w:val="21"/>
              </w:rPr>
              <w:t>卷第</w:t>
            </w:r>
            <w:r>
              <w:rPr>
                <w:kern w:val="0"/>
                <w:szCs w:val="21"/>
              </w:rPr>
              <w:t>6</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bottom"/>
          </w:tcPr>
          <w:p w:rsidR="00C47CD0" w:rsidRDefault="00081AE9">
            <w:pPr>
              <w:widowControl/>
              <w:jc w:val="left"/>
              <w:rPr>
                <w:kern w:val="0"/>
                <w:szCs w:val="21"/>
              </w:rPr>
            </w:pPr>
            <w:r>
              <w:rPr>
                <w:kern w:val="0"/>
                <w:szCs w:val="21"/>
              </w:rPr>
              <w:t>5(5)</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张文俊</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旅管</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乌鲁木齐周边农家乐业主收入及构成调查与分析</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环境与可持续发展</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年第</w:t>
            </w:r>
            <w:r>
              <w:rPr>
                <w:kern w:val="0"/>
                <w:szCs w:val="21"/>
              </w:rPr>
              <w:t>6</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木拉迪力</w:t>
            </w:r>
            <w:r>
              <w:rPr>
                <w:kern w:val="0"/>
                <w:szCs w:val="21"/>
              </w:rPr>
              <w:t>.</w:t>
            </w:r>
            <w:r>
              <w:rPr>
                <w:rFonts w:ascii="宋体" w:hAnsi="宋体" w:hint="eastAsia"/>
                <w:kern w:val="0"/>
                <w:szCs w:val="21"/>
              </w:rPr>
              <w:t>迪力穆拉提</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数学</w:t>
            </w:r>
            <w:r>
              <w:rPr>
                <w:kern w:val="0"/>
                <w:szCs w:val="21"/>
              </w:rPr>
              <w:t>101</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Banach </w:t>
            </w:r>
            <w:r>
              <w:rPr>
                <w:rFonts w:ascii="宋体" w:hAnsi="宋体" w:hint="eastAsia"/>
                <w:kern w:val="0"/>
                <w:szCs w:val="21"/>
              </w:rPr>
              <w:t>不动点在积分方程中的应用</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新疆师范大学学报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第</w:t>
            </w:r>
            <w:r>
              <w:rPr>
                <w:kern w:val="0"/>
                <w:szCs w:val="21"/>
              </w:rPr>
              <w:t>4</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　</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阿布都克热木</w:t>
            </w:r>
            <w:r>
              <w:rPr>
                <w:kern w:val="0"/>
                <w:szCs w:val="21"/>
              </w:rPr>
              <w:t>·</w:t>
            </w:r>
            <w:r>
              <w:rPr>
                <w:rFonts w:ascii="宋体" w:hAnsi="宋体" w:hint="eastAsia"/>
                <w:kern w:val="0"/>
                <w:szCs w:val="21"/>
              </w:rPr>
              <w:t>卡地尔</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数学</w:t>
            </w:r>
            <w:r>
              <w:rPr>
                <w:kern w:val="0"/>
                <w:szCs w:val="21"/>
              </w:rPr>
              <w:t>101</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Banach </w:t>
            </w:r>
            <w:r>
              <w:rPr>
                <w:rFonts w:ascii="宋体" w:hAnsi="宋体" w:hint="eastAsia"/>
                <w:kern w:val="0"/>
                <w:szCs w:val="21"/>
              </w:rPr>
              <w:t>不动点在积分方程中的应用</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新疆师范大学学报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第</w:t>
            </w:r>
            <w:r>
              <w:rPr>
                <w:kern w:val="0"/>
                <w:szCs w:val="21"/>
              </w:rPr>
              <w:t>4</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　</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7</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依干拜尔迪</w:t>
            </w:r>
            <w:r>
              <w:rPr>
                <w:kern w:val="0"/>
                <w:szCs w:val="21"/>
              </w:rPr>
              <w:t>.</w:t>
            </w:r>
            <w:r>
              <w:rPr>
                <w:rFonts w:ascii="宋体" w:hAnsi="宋体" w:hint="eastAsia"/>
                <w:kern w:val="0"/>
                <w:szCs w:val="21"/>
              </w:rPr>
              <w:t>胡达拜尔迪</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数学</w:t>
            </w:r>
            <w:r>
              <w:rPr>
                <w:kern w:val="0"/>
                <w:szCs w:val="21"/>
              </w:rPr>
              <w:t>101</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Banach </w:t>
            </w:r>
            <w:r>
              <w:rPr>
                <w:rFonts w:ascii="宋体" w:hAnsi="宋体" w:hint="eastAsia"/>
                <w:kern w:val="0"/>
                <w:szCs w:val="21"/>
              </w:rPr>
              <w:t>不动点在积分方程中的应用</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新疆师范大学学报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第</w:t>
            </w:r>
            <w:r>
              <w:rPr>
                <w:kern w:val="0"/>
                <w:szCs w:val="21"/>
              </w:rPr>
              <w:t>4</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　</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8</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郭佳佳</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药学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混合菌发酵酸马乳的降血脂功能研究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食品工业科技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2015.02</w:t>
            </w:r>
            <w:r>
              <w:rPr>
                <w:rFonts w:ascii="宋体" w:hAnsi="宋体" w:hint="eastAsia"/>
                <w:kern w:val="0"/>
                <w:szCs w:val="21"/>
              </w:rPr>
              <w:t>（</w:t>
            </w:r>
            <w:r>
              <w:rPr>
                <w:kern w:val="0"/>
                <w:szCs w:val="21"/>
              </w:rPr>
              <w:t>36</w:t>
            </w:r>
            <w:r>
              <w:rPr>
                <w:rFonts w:ascii="宋体" w:hAnsi="宋体" w:hint="eastAsia"/>
                <w:kern w:val="0"/>
                <w:szCs w:val="21"/>
              </w:rPr>
              <w:t>）</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r>
              <w:rPr>
                <w:rFonts w:ascii="宋体" w:hAnsi="宋体" w:hint="eastAsia"/>
                <w:kern w:val="0"/>
                <w:szCs w:val="21"/>
              </w:rPr>
              <w:t>（</w:t>
            </w:r>
            <w:r>
              <w:rPr>
                <w:kern w:val="0"/>
                <w:szCs w:val="21"/>
              </w:rPr>
              <w:t>10</w:t>
            </w:r>
            <w:r>
              <w:rPr>
                <w:rFonts w:ascii="宋体" w:hAnsi="宋体" w:hint="eastAsia"/>
                <w:kern w:val="0"/>
                <w:szCs w:val="21"/>
              </w:rPr>
              <w:t>）</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9</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冷娟</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食安</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双酶酶解葵花籽粕蛋白制备抗氧化多肽的研究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食品工业科技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rFonts w:ascii="宋体" w:hAnsi="宋体" w:hint="eastAsia"/>
                <w:kern w:val="0"/>
                <w:szCs w:val="21"/>
              </w:rPr>
              <w:t>年第</w:t>
            </w:r>
            <w:r>
              <w:rPr>
                <w:kern w:val="0"/>
                <w:szCs w:val="21"/>
              </w:rPr>
              <w:t>11</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rFonts w:ascii="宋体" w:hAnsi="宋体" w:hint="eastAsia"/>
                <w:kern w:val="0"/>
                <w:szCs w:val="21"/>
              </w:rPr>
              <w:t>（</w:t>
            </w:r>
            <w:r>
              <w:rPr>
                <w:kern w:val="0"/>
                <w:szCs w:val="21"/>
              </w:rPr>
              <w:t>6</w:t>
            </w:r>
            <w:r>
              <w:rPr>
                <w:rFonts w:ascii="宋体" w:hAnsi="宋体" w:hint="eastAsia"/>
                <w:kern w:val="0"/>
                <w:szCs w:val="21"/>
              </w:rPr>
              <w:t>）</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10</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徐佳</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食安</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红花籽粕蛋白质提取工艺优化</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年第</w:t>
            </w:r>
            <w:r>
              <w:rPr>
                <w:kern w:val="0"/>
                <w:szCs w:val="21"/>
              </w:rPr>
              <w:t>39</w:t>
            </w:r>
            <w:r>
              <w:rPr>
                <w:rFonts w:ascii="宋体" w:hAnsi="宋体" w:hint="eastAsia"/>
                <w:kern w:val="0"/>
                <w:szCs w:val="21"/>
              </w:rPr>
              <w:t>卷第</w:t>
            </w:r>
            <w:r>
              <w:rPr>
                <w:kern w:val="0"/>
                <w:szCs w:val="21"/>
              </w:rPr>
              <w:t>11</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rFonts w:ascii="宋体" w:hAnsi="宋体" w:hint="eastAsia"/>
                <w:kern w:val="0"/>
                <w:szCs w:val="21"/>
              </w:rPr>
              <w:t>（</w:t>
            </w:r>
            <w:r>
              <w:rPr>
                <w:kern w:val="0"/>
                <w:szCs w:val="21"/>
              </w:rPr>
              <w:t>6</w:t>
            </w:r>
            <w:r>
              <w:rPr>
                <w:rFonts w:ascii="宋体" w:hAnsi="宋体" w:hint="eastAsia"/>
                <w:kern w:val="0"/>
                <w:szCs w:val="21"/>
              </w:rPr>
              <w:t>）</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11</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郭杨美娟</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采前水杨酸处理对杏果实抗病性及苯丙烷代谢的诱导</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rFonts w:ascii="宋体" w:hAnsi="宋体" w:hint="eastAsia"/>
                <w:kern w:val="0"/>
                <w:szCs w:val="21"/>
              </w:rPr>
              <w:t>年第</w:t>
            </w:r>
            <w:r>
              <w:rPr>
                <w:kern w:val="0"/>
                <w:szCs w:val="21"/>
              </w:rPr>
              <w:t>2</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4(4)</w:t>
            </w:r>
          </w:p>
        </w:tc>
      </w:tr>
      <w:tr w:rsidR="00C47CD0">
        <w:trPr>
          <w:trHeight w:val="51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12</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吴瑞</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间歇式低温微波处理对哈密瓜汁品质及过氧化物酶活性的影响</w:t>
            </w:r>
            <w:r>
              <w:rPr>
                <w:kern w:val="0"/>
                <w:szCs w:val="21"/>
              </w:rPr>
              <w:t xml:space="preserve"> </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北方园艺</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年第</w:t>
            </w:r>
            <w:r>
              <w:rPr>
                <w:kern w:val="0"/>
                <w:szCs w:val="21"/>
              </w:rPr>
              <w:t>8</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4(5)</w:t>
            </w:r>
          </w:p>
        </w:tc>
      </w:tr>
      <w:tr w:rsidR="00C47CD0">
        <w:trPr>
          <w:trHeight w:val="52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13</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马晓雯</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114</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QuEChERS-</w:t>
            </w:r>
            <w:r>
              <w:rPr>
                <w:rFonts w:ascii="宋体" w:hAnsi="宋体" w:hint="eastAsia"/>
                <w:kern w:val="0"/>
                <w:szCs w:val="21"/>
              </w:rPr>
              <w:t>高效液相色谱</w:t>
            </w:r>
            <w:r>
              <w:rPr>
                <w:kern w:val="0"/>
                <w:szCs w:val="21"/>
              </w:rPr>
              <w:t>-</w:t>
            </w:r>
            <w:r>
              <w:rPr>
                <w:rFonts w:ascii="宋体" w:hAnsi="宋体" w:hint="eastAsia"/>
                <w:kern w:val="0"/>
                <w:szCs w:val="21"/>
              </w:rPr>
              <w:t>串联质谱法测定酵母抽提物中９种黄色合成色素</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分析科学学报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rFonts w:ascii="宋体" w:hAnsi="宋体" w:hint="eastAsia"/>
                <w:kern w:val="0"/>
                <w:szCs w:val="21"/>
              </w:rPr>
              <w:t>年第</w:t>
            </w:r>
            <w:r>
              <w:rPr>
                <w:kern w:val="0"/>
                <w:szCs w:val="21"/>
              </w:rPr>
              <w:t>7</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w:t>
            </w:r>
            <w:r>
              <w:rPr>
                <w:rFonts w:ascii="宋体" w:hAnsi="宋体" w:hint="eastAsia"/>
                <w:kern w:val="0"/>
                <w:szCs w:val="21"/>
              </w:rPr>
              <w:t>（</w:t>
            </w:r>
            <w:r>
              <w:rPr>
                <w:kern w:val="0"/>
                <w:szCs w:val="21"/>
              </w:rPr>
              <w:t>6</w:t>
            </w:r>
            <w:r>
              <w:rPr>
                <w:rFonts w:ascii="宋体" w:hAnsi="宋体" w:hint="eastAsia"/>
                <w:kern w:val="0"/>
                <w:szCs w:val="21"/>
              </w:rPr>
              <w:t>）</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14</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布佐热</w:t>
            </w:r>
            <w:r>
              <w:rPr>
                <w:kern w:val="0"/>
                <w:szCs w:val="21"/>
              </w:rPr>
              <w:t>·</w:t>
            </w:r>
            <w:r>
              <w:rPr>
                <w:rFonts w:ascii="宋体" w:hAnsi="宋体" w:hint="eastAsia"/>
                <w:kern w:val="0"/>
                <w:szCs w:val="21"/>
              </w:rPr>
              <w:t>阿卜拉</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101</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新疆西梅果汁浸提及加工工艺的研究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食品研究与开发</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rFonts w:ascii="宋体" w:hAnsi="宋体" w:hint="eastAsia"/>
                <w:kern w:val="0"/>
                <w:szCs w:val="21"/>
              </w:rPr>
              <w:t>年</w:t>
            </w:r>
            <w:r>
              <w:rPr>
                <w:kern w:val="0"/>
                <w:szCs w:val="21"/>
              </w:rPr>
              <w:t>11</w:t>
            </w:r>
            <w:r>
              <w:rPr>
                <w:rFonts w:ascii="宋体" w:hAnsi="宋体" w:hint="eastAsia"/>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第五</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15</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张花</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114</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不同二次杀菌处理对烤羊肉品质的影响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食品工业科技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Arial" w:hAnsi="Arial" w:cs="Arial"/>
                <w:color w:val="242424"/>
                <w:sz w:val="18"/>
                <w:szCs w:val="18"/>
              </w:rPr>
              <w:t>2015</w:t>
            </w:r>
            <w:r>
              <w:rPr>
                <w:rFonts w:ascii="Arial" w:hAnsi="Arial" w:cs="Arial"/>
                <w:color w:val="242424"/>
                <w:sz w:val="18"/>
                <w:szCs w:val="18"/>
              </w:rPr>
              <w:t>年</w:t>
            </w:r>
            <w:r>
              <w:rPr>
                <w:rFonts w:ascii="Arial" w:hAnsi="Arial" w:cs="Arial"/>
                <w:color w:val="242424"/>
                <w:sz w:val="18"/>
                <w:szCs w:val="18"/>
              </w:rPr>
              <w:t>06</w:t>
            </w:r>
            <w:r>
              <w:rPr>
                <w:rFonts w:ascii="Arial" w:hAnsi="Arial" w:cs="Arial"/>
                <w:color w:val="242424"/>
                <w:sz w:val="18"/>
                <w:szCs w:val="18"/>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16</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马佳嘉</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114</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不同二次杀菌处理对烤羊肉品质的影响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食品工业科技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Arial" w:hAnsi="Arial" w:cs="Arial"/>
                <w:color w:val="242424"/>
                <w:sz w:val="18"/>
                <w:szCs w:val="18"/>
              </w:rPr>
              <w:t>2015</w:t>
            </w:r>
            <w:r>
              <w:rPr>
                <w:rFonts w:ascii="Arial" w:hAnsi="Arial" w:cs="Arial"/>
                <w:color w:val="242424"/>
                <w:sz w:val="18"/>
                <w:szCs w:val="18"/>
              </w:rPr>
              <w:t>年</w:t>
            </w:r>
            <w:r>
              <w:rPr>
                <w:rFonts w:ascii="Arial" w:hAnsi="Arial" w:cs="Arial"/>
                <w:color w:val="242424"/>
                <w:sz w:val="18"/>
                <w:szCs w:val="18"/>
              </w:rPr>
              <w:t>06</w:t>
            </w:r>
            <w:r>
              <w:rPr>
                <w:rFonts w:ascii="Arial" w:hAnsi="Arial" w:cs="Arial"/>
                <w:color w:val="242424"/>
                <w:sz w:val="18"/>
                <w:szCs w:val="18"/>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17</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祁天</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影响生鲜马乳热稳定性因素的研究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食品工业科技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Arial" w:hAnsi="Arial" w:cs="Arial"/>
                <w:color w:val="242424"/>
                <w:sz w:val="18"/>
                <w:szCs w:val="18"/>
              </w:rPr>
              <w:t>2015</w:t>
            </w:r>
            <w:r>
              <w:rPr>
                <w:rFonts w:ascii="Arial" w:hAnsi="Arial" w:cs="Arial"/>
                <w:color w:val="242424"/>
                <w:sz w:val="18"/>
                <w:szCs w:val="18"/>
              </w:rPr>
              <w:t>年</w:t>
            </w:r>
            <w:r>
              <w:rPr>
                <w:rFonts w:ascii="Arial" w:hAnsi="Arial" w:cs="Arial"/>
                <w:color w:val="242424"/>
                <w:sz w:val="18"/>
                <w:szCs w:val="18"/>
              </w:rPr>
              <w:t>15</w:t>
            </w:r>
            <w:r>
              <w:rPr>
                <w:rFonts w:ascii="Arial" w:hAnsi="Arial" w:cs="Arial"/>
                <w:color w:val="242424"/>
                <w:sz w:val="18"/>
                <w:szCs w:val="18"/>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18</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赵志威</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影响生鲜马乳热稳定性因素的研究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食品工业科技</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Arial" w:hAnsi="Arial" w:cs="Arial"/>
                <w:color w:val="242424"/>
                <w:sz w:val="18"/>
                <w:szCs w:val="18"/>
              </w:rPr>
              <w:t>2015</w:t>
            </w:r>
            <w:r>
              <w:rPr>
                <w:rFonts w:ascii="Arial" w:hAnsi="Arial" w:cs="Arial"/>
                <w:color w:val="242424"/>
                <w:sz w:val="18"/>
                <w:szCs w:val="18"/>
              </w:rPr>
              <w:t>年</w:t>
            </w:r>
            <w:r>
              <w:rPr>
                <w:rFonts w:ascii="Arial" w:hAnsi="Arial" w:cs="Arial"/>
                <w:color w:val="242424"/>
                <w:sz w:val="18"/>
                <w:szCs w:val="18"/>
              </w:rPr>
              <w:t>15</w:t>
            </w:r>
            <w:r>
              <w:rPr>
                <w:rFonts w:ascii="Arial" w:hAnsi="Arial" w:cs="Arial"/>
                <w:color w:val="242424"/>
                <w:sz w:val="18"/>
                <w:szCs w:val="18"/>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19</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李振华</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酸马乳发酵过程中乳酸菌与酵母菌生长的相互影响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食品科学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 xml:space="preserve">　</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p>
        </w:tc>
      </w:tr>
      <w:tr w:rsidR="00C47CD0">
        <w:trPr>
          <w:trHeight w:val="27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lastRenderedPageBreak/>
              <w:t>20</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刘春月</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食科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快速脱水抑制葡萄干制过程中膜脂过氧化及褐变</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农业工程学报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30</w:t>
            </w:r>
            <w:r>
              <w:rPr>
                <w:rFonts w:ascii="宋体" w:hAnsi="宋体" w:hint="eastAsia"/>
                <w:kern w:val="0"/>
                <w:szCs w:val="21"/>
              </w:rPr>
              <w:t>（</w:t>
            </w:r>
            <w:r>
              <w:rPr>
                <w:kern w:val="0"/>
                <w:szCs w:val="21"/>
              </w:rPr>
              <w:t>17</w:t>
            </w:r>
            <w:r>
              <w:rPr>
                <w:rFonts w:ascii="宋体" w:hAnsi="宋体" w:hint="eastAsia"/>
                <w:kern w:val="0"/>
                <w:szCs w:val="21"/>
              </w:rPr>
              <w:t>）</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ascii="宋体" w:hAnsi="宋体" w:hint="eastAsia"/>
                <w:kern w:val="0"/>
                <w:szCs w:val="21"/>
              </w:rPr>
              <w:t>第四</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21</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瞿丽丽</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花期低温处理对库尔勒香梨脱萼果率及果实品质的影响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年第二期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22</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崔顺利</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花期低温处理对库尔勒香梨脱萼果率及果实品质的影响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年第二期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23</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其代</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库尔勒香梨果实中种子数量与偏斜果的相关性研究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年第二期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24</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温博</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库尔勒香梨果实中种子数量与偏斜果的相关性研究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年第二期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25</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周玲玲</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林学</w:t>
            </w:r>
            <w:r>
              <w:rPr>
                <w:kern w:val="0"/>
                <w:szCs w:val="21"/>
              </w:rPr>
              <w:t>114</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阿克苏核桃生产园链格孢菌核桃叶枯病的诊断</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中国林副特产</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4</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26</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寇小霞</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大赖草基因组</w:t>
            </w:r>
            <w:r>
              <w:rPr>
                <w:kern w:val="0"/>
                <w:szCs w:val="21"/>
              </w:rPr>
              <w:t>DNA</w:t>
            </w:r>
            <w:r>
              <w:rPr>
                <w:kern w:val="0"/>
                <w:szCs w:val="21"/>
              </w:rPr>
              <w:t>提取方法比较分析</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湖北农业科学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17</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r>
              <w:rPr>
                <w:kern w:val="0"/>
                <w:szCs w:val="21"/>
              </w:rPr>
              <w:t>（</w:t>
            </w:r>
            <w:r>
              <w:rPr>
                <w:kern w:val="0"/>
                <w:szCs w:val="21"/>
              </w:rPr>
              <w:t>6</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27</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郭坤鹏</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大豆</w:t>
            </w:r>
            <w:r>
              <w:rPr>
                <w:kern w:val="0"/>
                <w:szCs w:val="21"/>
              </w:rPr>
              <w:t>GmF-box</w:t>
            </w:r>
            <w:r>
              <w:rPr>
                <w:kern w:val="0"/>
                <w:szCs w:val="21"/>
              </w:rPr>
              <w:t>基因植物表达载体构建及转化拟南芥</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湖北农业科学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8</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r>
              <w:rPr>
                <w:kern w:val="0"/>
                <w:szCs w:val="21"/>
              </w:rPr>
              <w:t>（</w:t>
            </w:r>
            <w:r>
              <w:rPr>
                <w:kern w:val="0"/>
                <w:szCs w:val="21"/>
              </w:rPr>
              <w:t>7</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28</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康嘉楠</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大豆</w:t>
            </w:r>
            <w:r>
              <w:rPr>
                <w:kern w:val="0"/>
                <w:szCs w:val="21"/>
              </w:rPr>
              <w:t>GmF-box</w:t>
            </w:r>
            <w:r>
              <w:rPr>
                <w:kern w:val="0"/>
                <w:szCs w:val="21"/>
              </w:rPr>
              <w:t>基因植物表达载体构建及转化拟南芥</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湖北农业科学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8</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r>
              <w:rPr>
                <w:kern w:val="0"/>
                <w:szCs w:val="21"/>
              </w:rPr>
              <w:t>（</w:t>
            </w:r>
            <w:r>
              <w:rPr>
                <w:kern w:val="0"/>
                <w:szCs w:val="21"/>
              </w:rPr>
              <w:t>7</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29</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王丽芳</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大豆</w:t>
            </w:r>
            <w:r>
              <w:rPr>
                <w:kern w:val="0"/>
                <w:szCs w:val="21"/>
              </w:rPr>
              <w:t>GmF-box</w:t>
            </w:r>
            <w:r>
              <w:rPr>
                <w:kern w:val="0"/>
                <w:szCs w:val="21"/>
              </w:rPr>
              <w:t>基因植物表达载体构建及转化拟南芥</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湖北农业科学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8</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r>
              <w:rPr>
                <w:kern w:val="0"/>
                <w:szCs w:val="21"/>
              </w:rPr>
              <w:t>（</w:t>
            </w:r>
            <w:r>
              <w:rPr>
                <w:kern w:val="0"/>
                <w:szCs w:val="21"/>
              </w:rPr>
              <w:t>7</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30</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谢文磊</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生长素处理对梭梭枝条碳氮比及生理生化的影响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31</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谢健</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生长素处理对梭梭枝条碳氮比及生理生化的影响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32</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张生翾</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生长素处理对梭梭枝条碳氮比及生理生化的影响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33</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吴玉东</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不同化学打顶剂处理下棉花种子胚乳萌发生化物质的影响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新疆农业科学</w:t>
            </w:r>
            <w:r>
              <w:rPr>
                <w:kern w:val="0"/>
                <w:szCs w:val="21"/>
              </w:rPr>
              <w:t xml:space="preserve"> </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7</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w:t>
            </w:r>
            <w:r>
              <w:rPr>
                <w:kern w:val="0"/>
                <w:szCs w:val="21"/>
              </w:rPr>
              <w:t>（</w:t>
            </w:r>
            <w:r>
              <w:rPr>
                <w:kern w:val="0"/>
                <w:szCs w:val="21"/>
              </w:rPr>
              <w:t>5</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34</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李源翔</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不同化学打顶剂处理下棉花种子胚乳萌发生化物质的影响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新疆农业科学</w:t>
            </w:r>
            <w:r>
              <w:rPr>
                <w:kern w:val="0"/>
                <w:szCs w:val="21"/>
              </w:rPr>
              <w:t xml:space="preserve"> </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7</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kern w:val="0"/>
                <w:szCs w:val="21"/>
              </w:rPr>
              <w:t>（</w:t>
            </w:r>
            <w:r>
              <w:rPr>
                <w:kern w:val="0"/>
                <w:szCs w:val="21"/>
              </w:rPr>
              <w:t>5</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35</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张俊</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海岛棉黄烷酮</w:t>
            </w:r>
            <w:r>
              <w:rPr>
                <w:kern w:val="0"/>
                <w:szCs w:val="21"/>
              </w:rPr>
              <w:t>3-</w:t>
            </w:r>
            <w:r>
              <w:rPr>
                <w:kern w:val="0"/>
                <w:szCs w:val="21"/>
              </w:rPr>
              <w:t>羟化酶（</w:t>
            </w:r>
            <w:r>
              <w:rPr>
                <w:kern w:val="0"/>
                <w:szCs w:val="21"/>
              </w:rPr>
              <w:t>F3H</w:t>
            </w:r>
            <w:r>
              <w:rPr>
                <w:kern w:val="0"/>
                <w:szCs w:val="21"/>
              </w:rPr>
              <w:t>）基因序列分析和表达</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棉花科学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3</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w:t>
            </w:r>
            <w:r>
              <w:rPr>
                <w:kern w:val="0"/>
                <w:szCs w:val="21"/>
              </w:rPr>
              <w:t>（</w:t>
            </w:r>
            <w:r>
              <w:rPr>
                <w:kern w:val="0"/>
                <w:szCs w:val="21"/>
              </w:rPr>
              <w:t>5</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36</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彭弯弯</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扁桃</w:t>
            </w:r>
            <w:r>
              <w:rPr>
                <w:kern w:val="0"/>
                <w:szCs w:val="21"/>
              </w:rPr>
              <w:t>CBF1</w:t>
            </w:r>
            <w:r>
              <w:rPr>
                <w:kern w:val="0"/>
                <w:szCs w:val="21"/>
              </w:rPr>
              <w:t>转录因子的克隆及原核表达分析</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植物遗传资源学报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3</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r>
              <w:rPr>
                <w:kern w:val="0"/>
                <w:szCs w:val="21"/>
              </w:rPr>
              <w:t>（</w:t>
            </w:r>
            <w:r>
              <w:rPr>
                <w:kern w:val="0"/>
                <w:szCs w:val="21"/>
              </w:rPr>
              <w:t>6</w:t>
            </w:r>
            <w:r>
              <w:rPr>
                <w:kern w:val="0"/>
                <w:szCs w:val="21"/>
              </w:rPr>
              <w:t>）</w:t>
            </w:r>
          </w:p>
        </w:tc>
      </w:tr>
      <w:tr w:rsidR="00C47CD0">
        <w:trPr>
          <w:trHeight w:val="81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37</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林毅</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农学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Effects of Nitrogen Fertilizer on RhizosphereMicrobial Populations under Cotton Intercroppedwith Red Date in Arid Desert Oasis of SouthernXinjiang</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Agricultural Science &amp; Technology</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2</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9</w:t>
            </w:r>
            <w:r>
              <w:rPr>
                <w:kern w:val="0"/>
                <w:szCs w:val="21"/>
              </w:rPr>
              <w:t>（</w:t>
            </w:r>
            <w:r>
              <w:rPr>
                <w:kern w:val="0"/>
                <w:szCs w:val="21"/>
              </w:rPr>
              <w:t>10</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lastRenderedPageBreak/>
              <w:t>38</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林毅</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农学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残膜和灌溉水平对绿洲棉田水分时空分布的影响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7</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39</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李建伟</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农学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残膜和灌溉水平对绿洲棉田水分时空分布的影响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7</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w:t>
            </w:r>
            <w:r>
              <w:rPr>
                <w:kern w:val="0"/>
                <w:szCs w:val="21"/>
              </w:rPr>
              <w:t>（</w:t>
            </w:r>
            <w:r>
              <w:rPr>
                <w:kern w:val="0"/>
                <w:szCs w:val="21"/>
              </w:rPr>
              <w:t>8</w:t>
            </w:r>
            <w:r>
              <w:rPr>
                <w:kern w:val="0"/>
                <w:szCs w:val="21"/>
              </w:rPr>
              <w:t>）</w:t>
            </w:r>
          </w:p>
        </w:tc>
      </w:tr>
      <w:tr w:rsidR="00C47CD0">
        <w:trPr>
          <w:trHeight w:val="810"/>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40</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叶强涛</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农学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Effects of Nitrogen Fertilizer on RhizosphereMicrobial Populations under Cotton Intercroppedwith Red Date in Arid Desert Oasis of SouthernXinjiang</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Agricultural Science &amp; Technology</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2</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8</w:t>
            </w:r>
            <w:r>
              <w:rPr>
                <w:kern w:val="0"/>
                <w:szCs w:val="21"/>
              </w:rPr>
              <w:t>（</w:t>
            </w:r>
            <w:r>
              <w:rPr>
                <w:kern w:val="0"/>
                <w:szCs w:val="21"/>
              </w:rPr>
              <w:t>10</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41</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马雪儿</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植保</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扁桃叶斑病菌主要生物学特性研究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52</w:t>
            </w:r>
            <w:r>
              <w:rPr>
                <w:kern w:val="0"/>
                <w:szCs w:val="21"/>
              </w:rPr>
              <w:t>（</w:t>
            </w:r>
            <w:r>
              <w:rPr>
                <w:kern w:val="0"/>
                <w:szCs w:val="21"/>
              </w:rPr>
              <w:t>9</w:t>
            </w:r>
            <w:r>
              <w:rPr>
                <w:kern w:val="0"/>
                <w:szCs w:val="21"/>
              </w:rPr>
              <w:t>）</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r>
              <w:rPr>
                <w:kern w:val="0"/>
                <w:szCs w:val="21"/>
              </w:rPr>
              <w:t>（</w:t>
            </w:r>
            <w:r>
              <w:rPr>
                <w:kern w:val="0"/>
                <w:szCs w:val="21"/>
              </w:rPr>
              <w:t>4</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42</w:t>
            </w:r>
          </w:p>
        </w:tc>
        <w:tc>
          <w:tcPr>
            <w:tcW w:w="1225" w:type="dxa"/>
            <w:tcBorders>
              <w:top w:val="nil"/>
              <w:left w:val="nil"/>
              <w:bottom w:val="single" w:sz="4" w:space="0" w:color="auto"/>
              <w:right w:val="single" w:sz="4" w:space="0" w:color="auto"/>
            </w:tcBorders>
            <w:shd w:val="clear" w:color="auto" w:fill="auto"/>
            <w:vAlign w:val="center"/>
          </w:tcPr>
          <w:p w:rsidR="00C47CD0" w:rsidRDefault="009449D3">
            <w:pPr>
              <w:widowControl/>
              <w:jc w:val="left"/>
              <w:rPr>
                <w:kern w:val="0"/>
                <w:szCs w:val="21"/>
              </w:rPr>
            </w:pPr>
            <w:hyperlink r:id="rId20" w:tooltip="http://www.cnki.net/KCMS/detail/                /kcms/detail/search.aspx?dbcode=CJFQ&amp;sfield=au&amp;skey=%e7%8e%9b%e8%82%89%e5%a8%83%c2%b7%e8%89%be%e6%8b%9c%e5%85%8b&amp;code=" w:history="1">
              <w:r w:rsidR="00081AE9">
                <w:rPr>
                  <w:kern w:val="0"/>
                  <w:szCs w:val="21"/>
                </w:rPr>
                <w:t>玛肉娃</w:t>
              </w:r>
              <w:r w:rsidR="00081AE9">
                <w:rPr>
                  <w:kern w:val="0"/>
                  <w:szCs w:val="21"/>
                </w:rPr>
                <w:t>·</w:t>
              </w:r>
              <w:r w:rsidR="00081AE9">
                <w:rPr>
                  <w:kern w:val="0"/>
                  <w:szCs w:val="21"/>
                </w:rPr>
                <w:t>艾拜克</w:t>
              </w:r>
            </w:hyperlink>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植保</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扁桃叶斑病菌主要生物学特性研究</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52</w:t>
            </w:r>
            <w:r>
              <w:rPr>
                <w:kern w:val="0"/>
                <w:szCs w:val="21"/>
              </w:rPr>
              <w:t>（</w:t>
            </w:r>
            <w:r>
              <w:rPr>
                <w:kern w:val="0"/>
                <w:szCs w:val="21"/>
              </w:rPr>
              <w:t>9</w:t>
            </w:r>
            <w:r>
              <w:rPr>
                <w:kern w:val="0"/>
                <w:szCs w:val="21"/>
              </w:rPr>
              <w:t>）</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w:t>
            </w:r>
            <w:r>
              <w:rPr>
                <w:kern w:val="0"/>
                <w:szCs w:val="21"/>
              </w:rPr>
              <w:t>（</w:t>
            </w:r>
            <w:r>
              <w:rPr>
                <w:kern w:val="0"/>
                <w:szCs w:val="21"/>
              </w:rPr>
              <w:t>4</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43</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陈岱钰</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种子</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甘蓝型油菜</w:t>
            </w:r>
            <w:r>
              <w:rPr>
                <w:kern w:val="0"/>
                <w:szCs w:val="21"/>
              </w:rPr>
              <w:t>SRAP</w:t>
            </w:r>
            <w:r>
              <w:rPr>
                <w:kern w:val="0"/>
                <w:szCs w:val="21"/>
              </w:rPr>
              <w:t>标记遗传多样性分析</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4</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44</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吐热尼古丽</w:t>
            </w:r>
            <w:r>
              <w:rPr>
                <w:kern w:val="0"/>
                <w:szCs w:val="21"/>
              </w:rPr>
              <w:t>.</w:t>
            </w:r>
            <w:r>
              <w:rPr>
                <w:kern w:val="0"/>
                <w:szCs w:val="21"/>
              </w:rPr>
              <w:t>吾斯曼</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种子</w:t>
            </w:r>
            <w:r>
              <w:rPr>
                <w:kern w:val="0"/>
                <w:szCs w:val="21"/>
              </w:rPr>
              <w:t>101</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甘蓝型油菜</w:t>
            </w:r>
            <w:r>
              <w:rPr>
                <w:kern w:val="0"/>
                <w:szCs w:val="21"/>
              </w:rPr>
              <w:t>SRAP</w:t>
            </w:r>
            <w:r>
              <w:rPr>
                <w:kern w:val="0"/>
                <w:szCs w:val="21"/>
              </w:rPr>
              <w:t>标记遗传多样性分析</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5</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45</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努尔麦麦提</w:t>
            </w:r>
            <w:r>
              <w:rPr>
                <w:kern w:val="0"/>
                <w:szCs w:val="21"/>
              </w:rPr>
              <w:t>.</w:t>
            </w:r>
            <w:r>
              <w:rPr>
                <w:kern w:val="0"/>
                <w:szCs w:val="21"/>
              </w:rPr>
              <w:t>亚森</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种子</w:t>
            </w:r>
            <w:r>
              <w:rPr>
                <w:kern w:val="0"/>
                <w:szCs w:val="21"/>
              </w:rPr>
              <w:t>101</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甘蓝型油菜</w:t>
            </w:r>
            <w:r>
              <w:rPr>
                <w:kern w:val="0"/>
                <w:szCs w:val="21"/>
              </w:rPr>
              <w:t>SRAP</w:t>
            </w:r>
            <w:r>
              <w:rPr>
                <w:kern w:val="0"/>
                <w:szCs w:val="21"/>
              </w:rPr>
              <w:t>标记遗传多样性分析</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7</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46</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张生翾</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外源物质对新疆紫草毛状根次生代谢产物含量的影响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食品科学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5</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rFonts w:hint="eastAsia"/>
                <w:kern w:val="0"/>
                <w:szCs w:val="21"/>
              </w:rPr>
              <w:t>1</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47</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谢文磊</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外源物质对新疆紫草毛状根次生代谢产物含量的影响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食品科学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5</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48</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谢建</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外源物质对新疆紫草毛状根次生代谢产物含量的影响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食品科学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5</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49</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李驰</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农学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外源物质对新疆紫草毛状根次生代谢产物含量的影响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食品科学</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5</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6</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50</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李驰</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农学</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除草剂对新疆紫草无菌苗生长及变异的影响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4</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kern w:val="0"/>
                <w:szCs w:val="21"/>
              </w:rPr>
              <w:t>（</w:t>
            </w:r>
            <w:r>
              <w:rPr>
                <w:kern w:val="0"/>
                <w:szCs w:val="21"/>
              </w:rPr>
              <w:t>5</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51</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谢文磊</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生长素处理对梭梭枝条不同部位生理生化指标的影响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1</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52</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谢建</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生长素处理对梭梭枝条不同部位生理生化指标的影响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3</w:t>
            </w:r>
            <w:r>
              <w:rPr>
                <w:kern w:val="0"/>
                <w:szCs w:val="21"/>
              </w:rPr>
              <w:t>（</w:t>
            </w:r>
            <w:r>
              <w:rPr>
                <w:kern w:val="0"/>
                <w:szCs w:val="21"/>
              </w:rPr>
              <w:t>8</w:t>
            </w:r>
            <w:r>
              <w:rPr>
                <w:kern w:val="0"/>
                <w:szCs w:val="21"/>
              </w:rPr>
              <w:t>）</w:t>
            </w:r>
          </w:p>
        </w:tc>
      </w:tr>
      <w:tr w:rsidR="00C47CD0">
        <w:trPr>
          <w:trHeight w:val="28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53</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张生翾</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生技</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生长素处理对梭梭枝条不同部位生理生化指标的影响</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2014</w:t>
            </w:r>
            <w:r>
              <w:rPr>
                <w:kern w:val="0"/>
                <w:szCs w:val="21"/>
              </w:rPr>
              <w:t>年第</w:t>
            </w:r>
            <w:r>
              <w:rPr>
                <w:kern w:val="0"/>
                <w:szCs w:val="21"/>
              </w:rPr>
              <w:t>6</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4</w:t>
            </w:r>
            <w:r>
              <w:rPr>
                <w:kern w:val="0"/>
                <w:szCs w:val="21"/>
              </w:rPr>
              <w:t>（</w:t>
            </w:r>
            <w:r>
              <w:rPr>
                <w:kern w:val="0"/>
                <w:szCs w:val="21"/>
              </w:rPr>
              <w:t>8</w:t>
            </w:r>
            <w:r>
              <w:rPr>
                <w:kern w:val="0"/>
                <w:szCs w:val="21"/>
              </w:rPr>
              <w:t>）</w:t>
            </w:r>
          </w:p>
        </w:tc>
      </w:tr>
      <w:tr w:rsidR="00C47CD0">
        <w:trPr>
          <w:trHeight w:val="525"/>
        </w:trPr>
        <w:tc>
          <w:tcPr>
            <w:tcW w:w="442"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54</w:t>
            </w:r>
          </w:p>
        </w:tc>
        <w:tc>
          <w:tcPr>
            <w:tcW w:w="122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任毅</w:t>
            </w:r>
          </w:p>
        </w:tc>
        <w:tc>
          <w:tcPr>
            <w:tcW w:w="994"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种科</w:t>
            </w:r>
            <w:r>
              <w:rPr>
                <w:kern w:val="0"/>
                <w:szCs w:val="21"/>
              </w:rPr>
              <w:t>112</w:t>
            </w:r>
          </w:p>
        </w:tc>
        <w:tc>
          <w:tcPr>
            <w:tcW w:w="2836"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新疆小麦过氧化物酶活性基因</w:t>
            </w:r>
            <w:r>
              <w:rPr>
                <w:i/>
                <w:iCs/>
                <w:kern w:val="0"/>
                <w:szCs w:val="21"/>
              </w:rPr>
              <w:t>TaPod-A1</w:t>
            </w:r>
            <w:r>
              <w:rPr>
                <w:rFonts w:ascii="宋体" w:hAnsi="宋体" w:hint="eastAsia"/>
                <w:kern w:val="0"/>
                <w:szCs w:val="21"/>
              </w:rPr>
              <w:t>等位变异检测及其分布规律</w:t>
            </w:r>
          </w:p>
        </w:tc>
        <w:tc>
          <w:tcPr>
            <w:tcW w:w="1132"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新疆农业大学学报</w:t>
            </w:r>
          </w:p>
        </w:tc>
        <w:tc>
          <w:tcPr>
            <w:tcW w:w="1135"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2015</w:t>
            </w:r>
            <w:r>
              <w:rPr>
                <w:kern w:val="0"/>
                <w:szCs w:val="21"/>
              </w:rPr>
              <w:t>年第</w:t>
            </w:r>
            <w:r>
              <w:rPr>
                <w:kern w:val="0"/>
                <w:szCs w:val="21"/>
              </w:rPr>
              <w:t>3</w:t>
            </w:r>
            <w:r>
              <w:rPr>
                <w:kern w:val="0"/>
                <w:szCs w:val="21"/>
              </w:rPr>
              <w:t>期</w:t>
            </w:r>
          </w:p>
        </w:tc>
        <w:tc>
          <w:tcPr>
            <w:tcW w:w="758" w:type="dxa"/>
            <w:tcBorders>
              <w:top w:val="nil"/>
              <w:left w:val="nil"/>
              <w:bottom w:val="single" w:sz="4" w:space="0" w:color="auto"/>
              <w:right w:val="single" w:sz="4" w:space="0" w:color="auto"/>
            </w:tcBorders>
            <w:shd w:val="clear" w:color="auto" w:fill="auto"/>
            <w:vAlign w:val="center"/>
          </w:tcPr>
          <w:p w:rsidR="00C47CD0" w:rsidRDefault="00081AE9">
            <w:pPr>
              <w:widowControl/>
              <w:jc w:val="left"/>
              <w:rPr>
                <w:kern w:val="0"/>
                <w:szCs w:val="21"/>
              </w:rPr>
            </w:pPr>
            <w:r>
              <w:rPr>
                <w:kern w:val="0"/>
                <w:szCs w:val="21"/>
              </w:rPr>
              <w:t>5</w:t>
            </w:r>
            <w:r>
              <w:rPr>
                <w:kern w:val="0"/>
                <w:szCs w:val="21"/>
              </w:rPr>
              <w:t>（</w:t>
            </w:r>
            <w:r>
              <w:rPr>
                <w:kern w:val="0"/>
                <w:szCs w:val="21"/>
              </w:rPr>
              <w:t>9</w:t>
            </w:r>
            <w:r>
              <w:rPr>
                <w:kern w:val="0"/>
                <w:szCs w:val="21"/>
              </w:rPr>
              <w:t>）</w:t>
            </w:r>
          </w:p>
        </w:tc>
      </w:tr>
    </w:tbl>
    <w:p w:rsidR="00C47CD0" w:rsidRDefault="00C47CD0">
      <w:pPr>
        <w:autoSpaceDE w:val="0"/>
        <w:autoSpaceDN w:val="0"/>
        <w:ind w:firstLineChars="200" w:firstLine="643"/>
        <w:jc w:val="left"/>
        <w:outlineLvl w:val="1"/>
        <w:rPr>
          <w:rFonts w:ascii="仿宋_GB2312" w:eastAsia="仿宋_GB2312"/>
          <w:b/>
          <w:sz w:val="32"/>
          <w:szCs w:val="32"/>
        </w:rPr>
      </w:pPr>
      <w:bookmarkStart w:id="148" w:name="_Toc402443421"/>
      <w:bookmarkStart w:id="149" w:name="_Toc402374124"/>
      <w:bookmarkStart w:id="150" w:name="_Toc402443174"/>
      <w:bookmarkStart w:id="151" w:name="_Toc435713811"/>
      <w:bookmarkStart w:id="152" w:name="_Toc435713904"/>
    </w:p>
    <w:p w:rsidR="00C47CD0" w:rsidRDefault="00081AE9">
      <w:pPr>
        <w:autoSpaceDE w:val="0"/>
        <w:autoSpaceDN w:val="0"/>
        <w:ind w:firstLineChars="200" w:firstLine="643"/>
        <w:jc w:val="left"/>
        <w:outlineLvl w:val="1"/>
        <w:rPr>
          <w:rFonts w:ascii="仿宋_GB2312" w:eastAsia="仿宋_GB2312"/>
          <w:b/>
          <w:sz w:val="32"/>
          <w:szCs w:val="32"/>
        </w:rPr>
      </w:pPr>
      <w:r>
        <w:rPr>
          <w:rFonts w:ascii="仿宋_GB2312" w:eastAsia="仿宋_GB2312" w:hint="eastAsia"/>
          <w:b/>
          <w:sz w:val="32"/>
          <w:szCs w:val="32"/>
        </w:rPr>
        <w:lastRenderedPageBreak/>
        <w:t>（五）就业情况</w:t>
      </w:r>
      <w:bookmarkEnd w:id="148"/>
      <w:bookmarkEnd w:id="149"/>
      <w:bookmarkEnd w:id="150"/>
      <w:bookmarkEnd w:id="151"/>
      <w:bookmarkEnd w:id="152"/>
    </w:p>
    <w:p w:rsidR="00C47CD0" w:rsidRDefault="00081AE9">
      <w:pPr>
        <w:ind w:firstLineChars="200" w:firstLine="640"/>
      </w:pPr>
      <w:r>
        <w:rPr>
          <w:rFonts w:ascii="仿宋_GB2312" w:eastAsia="仿宋_GB2312" w:hint="eastAsia"/>
          <w:sz w:val="32"/>
          <w:szCs w:val="32"/>
        </w:rPr>
        <w:t>2015年应届毕业生一次就业率为</w:t>
      </w:r>
      <w:r>
        <w:rPr>
          <w:rFonts w:ascii="仿宋_GB2312" w:eastAsia="仿宋_GB2312"/>
          <w:sz w:val="32"/>
          <w:szCs w:val="32"/>
        </w:rPr>
        <w:t xml:space="preserve">75.67 </w:t>
      </w:r>
      <w:r>
        <w:rPr>
          <w:rFonts w:ascii="仿宋_GB2312" w:eastAsia="仿宋_GB2312" w:hint="eastAsia"/>
          <w:sz w:val="32"/>
          <w:szCs w:val="32"/>
        </w:rPr>
        <w:t>%，年终就业率8</w:t>
      </w:r>
      <w:r>
        <w:rPr>
          <w:rFonts w:ascii="仿宋_GB2312" w:eastAsia="仿宋_GB2312"/>
          <w:sz w:val="32"/>
          <w:szCs w:val="32"/>
        </w:rPr>
        <w:t>8.88</w:t>
      </w:r>
      <w:r>
        <w:rPr>
          <w:rFonts w:ascii="仿宋_GB2312" w:eastAsia="仿宋_GB2312" w:hint="eastAsia"/>
          <w:sz w:val="32"/>
          <w:szCs w:val="32"/>
        </w:rPr>
        <w:t>%。本科生就业质量、层次有所提升，学生受欢迎程度较高。</w:t>
      </w:r>
    </w:p>
    <w:p w:rsidR="00C47CD0" w:rsidRDefault="00081AE9">
      <w:pPr>
        <w:pStyle w:val="1"/>
        <w:jc w:val="center"/>
      </w:pPr>
      <w:r>
        <w:br w:type="page"/>
      </w:r>
      <w:bookmarkStart w:id="153" w:name="_Toc435713905"/>
      <w:r>
        <w:rPr>
          <w:rFonts w:hint="eastAsia"/>
        </w:rPr>
        <w:lastRenderedPageBreak/>
        <w:t>七、需要解决的问题</w:t>
      </w:r>
      <w:bookmarkEnd w:id="153"/>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围绕落实“教育部、农业部、国家林业局关于推进高等农林教育综合改革的若干意见”，加大各方人才、物力和精力的投入，制定更加切实有效的实施计划和具体措施，有序推进卓越工程师培养计划、卓越农林人才培养计划。</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深化</w:t>
      </w:r>
      <w:r>
        <w:rPr>
          <w:rFonts w:ascii="仿宋_GB2312" w:eastAsia="仿宋_GB2312"/>
          <w:sz w:val="32"/>
          <w:szCs w:val="32"/>
        </w:rPr>
        <w:t>创新创业教育</w:t>
      </w:r>
      <w:r>
        <w:rPr>
          <w:rFonts w:ascii="仿宋_GB2312" w:eastAsia="仿宋_GB2312" w:hint="eastAsia"/>
          <w:sz w:val="32"/>
          <w:szCs w:val="32"/>
        </w:rPr>
        <w:t>改革，</w:t>
      </w:r>
      <w:r>
        <w:rPr>
          <w:rFonts w:ascii="仿宋_GB2312" w:eastAsia="仿宋_GB2312"/>
          <w:sz w:val="32"/>
          <w:szCs w:val="32"/>
        </w:rPr>
        <w:t>完善人才</w:t>
      </w:r>
      <w:r>
        <w:rPr>
          <w:rFonts w:ascii="仿宋_GB2312" w:eastAsia="仿宋_GB2312" w:hint="eastAsia"/>
          <w:sz w:val="32"/>
          <w:szCs w:val="32"/>
        </w:rPr>
        <w:t>培养</w:t>
      </w:r>
      <w:r>
        <w:rPr>
          <w:rFonts w:ascii="仿宋_GB2312" w:eastAsia="仿宋_GB2312"/>
          <w:sz w:val="32"/>
          <w:szCs w:val="32"/>
        </w:rPr>
        <w:t>质量标准</w:t>
      </w:r>
      <w:r>
        <w:rPr>
          <w:rFonts w:ascii="仿宋_GB2312" w:eastAsia="仿宋_GB2312" w:hint="eastAsia"/>
          <w:sz w:val="32"/>
          <w:szCs w:val="32"/>
        </w:rPr>
        <w:t>，明确</w:t>
      </w:r>
      <w:r>
        <w:rPr>
          <w:rFonts w:ascii="仿宋_GB2312" w:eastAsia="仿宋_GB2312"/>
          <w:sz w:val="32"/>
          <w:szCs w:val="32"/>
        </w:rPr>
        <w:t>本科创新创业教育目标要求，</w:t>
      </w:r>
      <w:r>
        <w:rPr>
          <w:rFonts w:ascii="仿宋_GB2312" w:eastAsia="仿宋_GB2312" w:hint="eastAsia"/>
          <w:sz w:val="32"/>
          <w:szCs w:val="32"/>
        </w:rPr>
        <w:t>使</w:t>
      </w:r>
      <w:r>
        <w:rPr>
          <w:rFonts w:ascii="仿宋_GB2312" w:eastAsia="仿宋_GB2312"/>
          <w:sz w:val="32"/>
          <w:szCs w:val="32"/>
        </w:rPr>
        <w:t>创新精神</w:t>
      </w:r>
      <w:r>
        <w:rPr>
          <w:rFonts w:ascii="仿宋_GB2312" w:eastAsia="仿宋_GB2312" w:hint="eastAsia"/>
          <w:sz w:val="32"/>
          <w:szCs w:val="32"/>
        </w:rPr>
        <w:t>、</w:t>
      </w:r>
      <w:r>
        <w:rPr>
          <w:rFonts w:ascii="仿宋_GB2312" w:eastAsia="仿宋_GB2312"/>
          <w:sz w:val="32"/>
          <w:szCs w:val="32"/>
        </w:rPr>
        <w:t>创业</w:t>
      </w:r>
      <w:r>
        <w:rPr>
          <w:rFonts w:ascii="仿宋_GB2312" w:eastAsia="仿宋_GB2312" w:hint="eastAsia"/>
          <w:sz w:val="32"/>
          <w:szCs w:val="32"/>
        </w:rPr>
        <w:t>意识</w:t>
      </w:r>
      <w:r>
        <w:rPr>
          <w:rFonts w:ascii="仿宋_GB2312" w:eastAsia="仿宋_GB2312"/>
          <w:sz w:val="32"/>
          <w:szCs w:val="32"/>
        </w:rPr>
        <w:t>和创新创业能力成为人才培养质量的重要指标。</w:t>
      </w:r>
      <w:r>
        <w:rPr>
          <w:rFonts w:ascii="仿宋_GB2312" w:eastAsia="仿宋_GB2312" w:hint="eastAsia"/>
          <w:sz w:val="32"/>
          <w:szCs w:val="32"/>
        </w:rPr>
        <w:t>积极</w:t>
      </w:r>
      <w:r>
        <w:rPr>
          <w:rFonts w:ascii="仿宋_GB2312" w:eastAsia="仿宋_GB2312"/>
          <w:sz w:val="32"/>
          <w:szCs w:val="32"/>
        </w:rPr>
        <w:t>探索</w:t>
      </w:r>
      <w:r>
        <w:rPr>
          <w:rFonts w:ascii="仿宋_GB2312" w:eastAsia="仿宋_GB2312" w:hint="eastAsia"/>
          <w:sz w:val="32"/>
          <w:szCs w:val="32"/>
        </w:rPr>
        <w:t>创新</w:t>
      </w:r>
      <w:r>
        <w:rPr>
          <w:rFonts w:ascii="仿宋_GB2312" w:eastAsia="仿宋_GB2312"/>
          <w:sz w:val="32"/>
          <w:szCs w:val="32"/>
        </w:rPr>
        <w:t>人才培养机制，</w:t>
      </w:r>
      <w:r>
        <w:rPr>
          <w:rFonts w:ascii="仿宋_GB2312" w:eastAsia="仿宋_GB2312" w:hint="eastAsia"/>
          <w:sz w:val="32"/>
          <w:szCs w:val="32"/>
        </w:rPr>
        <w:t>建立</w:t>
      </w:r>
      <w:r>
        <w:rPr>
          <w:rFonts w:ascii="仿宋_GB2312" w:eastAsia="仿宋_GB2312"/>
          <w:sz w:val="32"/>
          <w:szCs w:val="32"/>
        </w:rPr>
        <w:t>需求导向的学科专业</w:t>
      </w:r>
      <w:r>
        <w:rPr>
          <w:rFonts w:ascii="仿宋_GB2312" w:eastAsia="仿宋_GB2312" w:hint="eastAsia"/>
          <w:sz w:val="32"/>
          <w:szCs w:val="32"/>
        </w:rPr>
        <w:t>结构</w:t>
      </w:r>
      <w:r>
        <w:rPr>
          <w:rFonts w:ascii="仿宋_GB2312" w:eastAsia="仿宋_GB2312"/>
          <w:sz w:val="32"/>
          <w:szCs w:val="32"/>
        </w:rPr>
        <w:t>和创业就业</w:t>
      </w:r>
      <w:r>
        <w:rPr>
          <w:rFonts w:ascii="仿宋_GB2312" w:eastAsia="仿宋_GB2312" w:hint="eastAsia"/>
          <w:sz w:val="32"/>
          <w:szCs w:val="32"/>
        </w:rPr>
        <w:t>导向</w:t>
      </w:r>
      <w:r>
        <w:rPr>
          <w:rFonts w:ascii="仿宋_GB2312" w:eastAsia="仿宋_GB2312"/>
          <w:sz w:val="32"/>
          <w:szCs w:val="32"/>
        </w:rPr>
        <w:t>的人才培养类型结构调整新机制，促进人才培养与社会经济发展、创业就业需求紧密对接。</w:t>
      </w:r>
      <w:r>
        <w:rPr>
          <w:rFonts w:ascii="仿宋_GB2312" w:eastAsia="仿宋_GB2312" w:hint="eastAsia"/>
          <w:sz w:val="32"/>
          <w:szCs w:val="32"/>
        </w:rPr>
        <w:t>要根据人才培养定位和创新创业教育目标要求，调整好专业课程设置，如何在传授专业知识过程中加强创新创业教育。</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构建基于本科教学基本状态数据的质量监控体系，教育部自2014年起陆续开展高等学校审核评估，教学质量保障体系以及状态数据库的常态化管理，以此为基础的教学质量反馈与持续改进机制。目前学校质量监控体系</w:t>
      </w:r>
      <w:r>
        <w:rPr>
          <w:rFonts w:ascii="仿宋_GB2312" w:eastAsia="仿宋_GB2312"/>
          <w:sz w:val="32"/>
          <w:szCs w:val="32"/>
        </w:rPr>
        <w:t>不能完全满足上述需求，因此有必要建立健全基于本科教学状态数据库的质量监控体系。</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坚持以深化体制机制改革为重点，着力解决影响创新人才培养的各种体制机制障碍。改变人才培养学科专业封闭、</w:t>
      </w:r>
      <w:r>
        <w:rPr>
          <w:rFonts w:ascii="仿宋_GB2312" w:eastAsia="仿宋_GB2312" w:hint="eastAsia"/>
          <w:sz w:val="32"/>
          <w:szCs w:val="32"/>
        </w:rPr>
        <w:lastRenderedPageBreak/>
        <w:t>部门条块分割、本科教育与研究生教育断裂、教学与科研分离等现实状况。高度重视建立有效的约束机制和激励机制，引导各教学单位及广大教师更为积极、主动、创造性地开展日常教学，不断提升教师教学能力，不断提高人才培养质量。充分发挥教师教学发展中心作用，切实提升教师教学能力和师德水平。</w:t>
      </w:r>
    </w:p>
    <w:p w:rsidR="00C47CD0" w:rsidRDefault="00081AE9">
      <w:pPr>
        <w:ind w:firstLineChars="200" w:firstLine="640"/>
        <w:rPr>
          <w:rFonts w:ascii="仿宋_GB2312" w:eastAsia="仿宋_GB2312"/>
          <w:sz w:val="32"/>
          <w:szCs w:val="32"/>
        </w:rPr>
      </w:pPr>
      <w:r>
        <w:rPr>
          <w:rFonts w:ascii="仿宋_GB2312" w:eastAsia="仿宋_GB2312" w:hint="eastAsia"/>
          <w:sz w:val="32"/>
          <w:szCs w:val="32"/>
        </w:rPr>
        <w:t>建立科学的教学质量标准，研究教学质量与教学条件的关系，区分学科门类明确教学工作各个环节的质量要求，探索建立集人才培养目标设计、模式选择、过程监控以及结果检验的全过程质量监控体系。进一步明晰校院两级责任，充分发挥学院积极性和作用。</w:t>
      </w:r>
    </w:p>
    <w:p w:rsidR="00C47CD0" w:rsidRDefault="00C47CD0">
      <w:pPr>
        <w:ind w:firstLineChars="200" w:firstLine="640"/>
        <w:rPr>
          <w:rFonts w:ascii="仿宋_GB2312" w:eastAsia="仿宋_GB2312"/>
          <w:sz w:val="32"/>
          <w:szCs w:val="32"/>
        </w:rPr>
        <w:sectPr w:rsidR="00C47CD0">
          <w:footerReference w:type="default" r:id="rId21"/>
          <w:pgSz w:w="11906" w:h="16838"/>
          <w:pgMar w:top="1440" w:right="1800" w:bottom="1440" w:left="1800" w:header="851" w:footer="992" w:gutter="0"/>
          <w:pgNumType w:start="1"/>
          <w:cols w:space="425"/>
          <w:docGrid w:type="lines" w:linePitch="312"/>
        </w:sectPr>
      </w:pPr>
    </w:p>
    <w:p w:rsidR="00C47CD0" w:rsidRDefault="00081AE9">
      <w:pPr>
        <w:pStyle w:val="1"/>
      </w:pPr>
      <w:bookmarkStart w:id="154" w:name="_Toc435713906"/>
      <w:r>
        <w:rPr>
          <w:rFonts w:hint="eastAsia"/>
        </w:rPr>
        <w:lastRenderedPageBreak/>
        <w:t>附件：《本科教学质量报告》基本数据表</w:t>
      </w:r>
      <w:bookmarkEnd w:id="154"/>
    </w:p>
    <w:tbl>
      <w:tblPr>
        <w:tblW w:w="14489" w:type="dxa"/>
        <w:tblInd w:w="93" w:type="dxa"/>
        <w:tblLayout w:type="fixed"/>
        <w:tblLook w:val="04A0" w:firstRow="1" w:lastRow="0" w:firstColumn="1" w:lastColumn="0" w:noHBand="0" w:noVBand="1"/>
      </w:tblPr>
      <w:tblGrid>
        <w:gridCol w:w="460"/>
        <w:gridCol w:w="80"/>
        <w:gridCol w:w="735"/>
        <w:gridCol w:w="720"/>
        <w:gridCol w:w="129"/>
        <w:gridCol w:w="591"/>
        <w:gridCol w:w="409"/>
        <w:gridCol w:w="491"/>
        <w:gridCol w:w="469"/>
        <w:gridCol w:w="380"/>
        <w:gridCol w:w="542"/>
        <w:gridCol w:w="304"/>
        <w:gridCol w:w="619"/>
        <w:gridCol w:w="332"/>
        <w:gridCol w:w="591"/>
        <w:gridCol w:w="389"/>
        <w:gridCol w:w="534"/>
        <w:gridCol w:w="226"/>
        <w:gridCol w:w="697"/>
        <w:gridCol w:w="106"/>
        <w:gridCol w:w="816"/>
        <w:gridCol w:w="35"/>
        <w:gridCol w:w="888"/>
        <w:gridCol w:w="112"/>
        <w:gridCol w:w="811"/>
        <w:gridCol w:w="445"/>
        <w:gridCol w:w="714"/>
        <w:gridCol w:w="166"/>
        <w:gridCol w:w="757"/>
        <w:gridCol w:w="92"/>
        <w:gridCol w:w="831"/>
        <w:gridCol w:w="18"/>
      </w:tblGrid>
      <w:tr w:rsidR="00C47CD0" w:rsidTr="00460459">
        <w:trPr>
          <w:trHeight w:val="592"/>
        </w:trPr>
        <w:tc>
          <w:tcPr>
            <w:tcW w:w="14489" w:type="dxa"/>
            <w:gridSpan w:val="32"/>
            <w:tcBorders>
              <w:top w:val="nil"/>
              <w:left w:val="nil"/>
              <w:bottom w:val="nil"/>
              <w:right w:val="nil"/>
            </w:tcBorders>
            <w:shd w:val="clear" w:color="auto" w:fill="auto"/>
            <w:vAlign w:val="center"/>
          </w:tcPr>
          <w:p w:rsidR="00C47CD0" w:rsidRDefault="00081AE9">
            <w:pPr>
              <w:widowControl/>
              <w:jc w:val="center"/>
              <w:rPr>
                <w:rFonts w:ascii="宋体" w:hAnsi="宋体" w:cs="宋体"/>
                <w:b/>
                <w:bCs/>
                <w:kern w:val="0"/>
                <w:szCs w:val="21"/>
              </w:rPr>
            </w:pPr>
            <w:r>
              <w:rPr>
                <w:rFonts w:ascii="宋体" w:hAnsi="宋体" w:cs="宋体" w:hint="eastAsia"/>
                <w:b/>
                <w:bCs/>
                <w:kern w:val="0"/>
                <w:szCs w:val="21"/>
              </w:rPr>
              <w:t>本科教学质量报告基本数据表一</w:t>
            </w:r>
          </w:p>
        </w:tc>
      </w:tr>
      <w:tr w:rsidR="00C47CD0" w:rsidTr="00460459">
        <w:trPr>
          <w:trHeight w:val="1305"/>
        </w:trPr>
        <w:tc>
          <w:tcPr>
            <w:tcW w:w="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序号</w:t>
            </w:r>
          </w:p>
        </w:tc>
        <w:tc>
          <w:tcPr>
            <w:tcW w:w="735"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学校名称</w:t>
            </w:r>
          </w:p>
        </w:tc>
        <w:tc>
          <w:tcPr>
            <w:tcW w:w="720" w:type="dxa"/>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hAnsi="宋体" w:cs="宋体"/>
                <w:b/>
                <w:bCs/>
                <w:kern w:val="0"/>
                <w:szCs w:val="21"/>
              </w:rPr>
            </w:pPr>
            <w:r>
              <w:rPr>
                <w:rFonts w:ascii="仿宋" w:eastAsia="仿宋" w:hAnsi="宋体" w:cs="宋体" w:hint="eastAsia"/>
                <w:b/>
                <w:bCs/>
                <w:kern w:val="0"/>
                <w:szCs w:val="21"/>
              </w:rPr>
              <w:t>学科门类</w:t>
            </w:r>
          </w:p>
          <w:p w:rsidR="00C47CD0" w:rsidRDefault="00081AE9">
            <w:pPr>
              <w:widowControl/>
              <w:ind w:rightChars="-51" w:right="-107"/>
              <w:jc w:val="center"/>
              <w:rPr>
                <w:rFonts w:ascii="仿宋" w:hAnsi="宋体" w:cs="宋体"/>
                <w:b/>
                <w:bCs/>
                <w:kern w:val="0"/>
                <w:szCs w:val="21"/>
              </w:rPr>
            </w:pPr>
            <w:r>
              <w:rPr>
                <w:rFonts w:ascii="仿宋" w:hAnsi="宋体" w:cs="宋体" w:hint="eastAsia"/>
                <w:b/>
                <w:bCs/>
                <w:kern w:val="0"/>
                <w:szCs w:val="21"/>
              </w:rPr>
              <w:t>（</w:t>
            </w:r>
            <w:r>
              <w:rPr>
                <w:rFonts w:ascii="仿宋" w:eastAsia="仿宋" w:hAnsi="宋体" w:cs="宋体" w:hint="eastAsia"/>
                <w:b/>
                <w:bCs/>
                <w:kern w:val="0"/>
                <w:szCs w:val="21"/>
              </w:rPr>
              <w:t>个</w:t>
            </w:r>
            <w:r>
              <w:rPr>
                <w:rFonts w:ascii="仿宋" w:hAnsi="宋体" w:cs="宋体" w:hint="eastAsia"/>
                <w:b/>
                <w:bCs/>
                <w:kern w:val="0"/>
                <w:szCs w:val="21"/>
              </w:rPr>
              <w:t>）</w:t>
            </w:r>
          </w:p>
        </w:tc>
        <w:tc>
          <w:tcPr>
            <w:tcW w:w="72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ind w:rightChars="-51" w:right="-107"/>
              <w:jc w:val="center"/>
              <w:rPr>
                <w:rFonts w:ascii="仿宋" w:eastAsia="仿宋" w:hAnsi="宋体" w:cs="宋体"/>
                <w:b/>
                <w:bCs/>
                <w:kern w:val="0"/>
                <w:szCs w:val="21"/>
              </w:rPr>
            </w:pPr>
            <w:r>
              <w:rPr>
                <w:rFonts w:ascii="仿宋" w:eastAsia="仿宋" w:hAnsi="宋体" w:cs="宋体" w:hint="eastAsia"/>
                <w:b/>
                <w:bCs/>
                <w:kern w:val="0"/>
                <w:szCs w:val="21"/>
              </w:rPr>
              <w:t>本科专业数（个）</w:t>
            </w:r>
          </w:p>
        </w:tc>
        <w:tc>
          <w:tcPr>
            <w:tcW w:w="90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ind w:rightChars="-51" w:right="-107"/>
              <w:jc w:val="center"/>
              <w:rPr>
                <w:rFonts w:ascii="仿宋" w:eastAsia="仿宋" w:hAnsi="宋体" w:cs="宋体"/>
                <w:b/>
                <w:bCs/>
                <w:kern w:val="0"/>
                <w:szCs w:val="21"/>
              </w:rPr>
            </w:pPr>
            <w:r>
              <w:rPr>
                <w:rFonts w:ascii="仿宋" w:eastAsia="仿宋" w:hAnsi="宋体" w:cs="宋体" w:hint="eastAsia"/>
                <w:b/>
                <w:bCs/>
                <w:kern w:val="0"/>
                <w:szCs w:val="21"/>
              </w:rPr>
              <w:t>在校生人数（名）</w:t>
            </w:r>
          </w:p>
        </w:tc>
        <w:tc>
          <w:tcPr>
            <w:tcW w:w="849"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本科生人数（名）</w:t>
            </w:r>
          </w:p>
        </w:tc>
        <w:tc>
          <w:tcPr>
            <w:tcW w:w="846"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本科生比例（%）</w:t>
            </w:r>
          </w:p>
        </w:tc>
        <w:tc>
          <w:tcPr>
            <w:tcW w:w="951"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生师比</w:t>
            </w:r>
          </w:p>
        </w:tc>
        <w:tc>
          <w:tcPr>
            <w:tcW w:w="98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生均教学行政用房面积（m</w:t>
            </w:r>
            <w:r>
              <w:rPr>
                <w:rFonts w:ascii="仿宋" w:eastAsia="仿宋" w:hAnsi="宋体" w:cs="宋体" w:hint="eastAsia"/>
                <w:b/>
                <w:bCs/>
                <w:kern w:val="0"/>
                <w:szCs w:val="21"/>
                <w:vertAlign w:val="superscript"/>
              </w:rPr>
              <w:t>2</w:t>
            </w:r>
            <w:r>
              <w:rPr>
                <w:rFonts w:ascii="仿宋" w:eastAsia="仿宋" w:hAnsi="宋体" w:cs="宋体" w:hint="eastAsia"/>
                <w:b/>
                <w:bCs/>
                <w:kern w:val="0"/>
                <w:szCs w:val="21"/>
              </w:rPr>
              <w:t>）</w:t>
            </w:r>
          </w:p>
        </w:tc>
        <w:tc>
          <w:tcPr>
            <w:tcW w:w="76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生均实验室面积（m</w:t>
            </w:r>
            <w:r>
              <w:rPr>
                <w:rFonts w:ascii="仿宋" w:eastAsia="仿宋" w:hAnsi="宋体" w:cs="宋体" w:hint="eastAsia"/>
                <w:b/>
                <w:bCs/>
                <w:kern w:val="0"/>
                <w:szCs w:val="21"/>
                <w:vertAlign w:val="superscript"/>
              </w:rPr>
              <w:t>2</w:t>
            </w:r>
            <w:r>
              <w:rPr>
                <w:rFonts w:ascii="仿宋" w:eastAsia="仿宋" w:hAnsi="宋体" w:cs="宋体" w:hint="eastAsia"/>
                <w:b/>
                <w:bCs/>
                <w:kern w:val="0"/>
                <w:szCs w:val="21"/>
              </w:rPr>
              <w:t>)</w:t>
            </w:r>
          </w:p>
        </w:tc>
        <w:tc>
          <w:tcPr>
            <w:tcW w:w="80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ind w:rightChars="-51" w:right="-107"/>
              <w:jc w:val="center"/>
              <w:rPr>
                <w:rFonts w:ascii="仿宋" w:eastAsia="仿宋" w:hAnsi="宋体" w:cs="宋体"/>
                <w:b/>
                <w:bCs/>
                <w:kern w:val="0"/>
                <w:szCs w:val="21"/>
              </w:rPr>
            </w:pPr>
            <w:r>
              <w:rPr>
                <w:rFonts w:ascii="仿宋" w:eastAsia="仿宋" w:hAnsi="宋体" w:cs="宋体" w:hint="eastAsia"/>
                <w:b/>
                <w:bCs/>
                <w:kern w:val="0"/>
                <w:szCs w:val="21"/>
              </w:rPr>
              <w:t>生均图书量（册）</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教学科研仪器设备总值（万元）</w:t>
            </w:r>
          </w:p>
        </w:tc>
        <w:tc>
          <w:tcPr>
            <w:tcW w:w="100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当年新增科研仪器设备值（万元）</w:t>
            </w:r>
          </w:p>
        </w:tc>
        <w:tc>
          <w:tcPr>
            <w:tcW w:w="1256"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生均教学科研仪器设备总值（元）</w:t>
            </w:r>
          </w:p>
        </w:tc>
        <w:tc>
          <w:tcPr>
            <w:tcW w:w="88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生均本科教学日常经费（元）</w:t>
            </w:r>
          </w:p>
        </w:tc>
        <w:tc>
          <w:tcPr>
            <w:tcW w:w="849"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年生均实习经费（元）</w:t>
            </w:r>
          </w:p>
        </w:tc>
        <w:tc>
          <w:tcPr>
            <w:tcW w:w="849"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年生均实验经费（元）</w:t>
            </w:r>
          </w:p>
        </w:tc>
      </w:tr>
      <w:tr w:rsidR="00C47CD0" w:rsidTr="00460459">
        <w:trPr>
          <w:trHeight w:val="402"/>
        </w:trPr>
        <w:tc>
          <w:tcPr>
            <w:tcW w:w="540" w:type="dxa"/>
            <w:gridSpan w:val="2"/>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1</w:t>
            </w:r>
          </w:p>
        </w:tc>
        <w:tc>
          <w:tcPr>
            <w:tcW w:w="735" w:type="dxa"/>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新疆农业大学</w:t>
            </w:r>
          </w:p>
        </w:tc>
        <w:tc>
          <w:tcPr>
            <w:tcW w:w="720" w:type="dxa"/>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7</w:t>
            </w:r>
          </w:p>
        </w:tc>
        <w:tc>
          <w:tcPr>
            <w:tcW w:w="720" w:type="dxa"/>
            <w:gridSpan w:val="2"/>
            <w:tcBorders>
              <w:top w:val="nil"/>
              <w:left w:val="nil"/>
              <w:bottom w:val="single" w:sz="4" w:space="0" w:color="auto"/>
              <w:right w:val="single" w:sz="4" w:space="0" w:color="auto"/>
            </w:tcBorders>
            <w:shd w:val="clear" w:color="auto" w:fill="auto"/>
            <w:vAlign w:val="center"/>
          </w:tcPr>
          <w:p w:rsidR="00C47CD0" w:rsidRPr="00FA280B" w:rsidRDefault="00081AE9">
            <w:pPr>
              <w:widowControl/>
              <w:jc w:val="center"/>
              <w:rPr>
                <w:rFonts w:ascii="仿宋" w:eastAsia="仿宋" w:hAnsi="宋体" w:cs="宋体"/>
                <w:kern w:val="0"/>
                <w:szCs w:val="21"/>
              </w:rPr>
            </w:pPr>
            <w:r w:rsidRPr="00FA280B">
              <w:rPr>
                <w:rFonts w:ascii="仿宋" w:eastAsia="仿宋" w:hAnsi="宋体" w:cs="宋体" w:hint="eastAsia"/>
                <w:kern w:val="0"/>
                <w:szCs w:val="21"/>
              </w:rPr>
              <w:t>62</w:t>
            </w:r>
          </w:p>
        </w:tc>
        <w:tc>
          <w:tcPr>
            <w:tcW w:w="900" w:type="dxa"/>
            <w:gridSpan w:val="2"/>
            <w:tcBorders>
              <w:top w:val="nil"/>
              <w:left w:val="nil"/>
              <w:bottom w:val="single" w:sz="4" w:space="0" w:color="auto"/>
              <w:right w:val="single" w:sz="4" w:space="0" w:color="auto"/>
            </w:tcBorders>
            <w:shd w:val="clear" w:color="auto" w:fill="auto"/>
            <w:vAlign w:val="center"/>
          </w:tcPr>
          <w:p w:rsidR="00B62ABF" w:rsidRPr="00FA280B" w:rsidRDefault="007704A4">
            <w:pPr>
              <w:widowControl/>
              <w:jc w:val="center"/>
              <w:rPr>
                <w:rFonts w:ascii="仿宋" w:eastAsia="仿宋" w:hAnsi="宋体" w:cs="宋体"/>
                <w:kern w:val="0"/>
                <w:szCs w:val="21"/>
              </w:rPr>
            </w:pPr>
            <w:r w:rsidRPr="00FA280B">
              <w:rPr>
                <w:rFonts w:ascii="仿宋" w:eastAsia="仿宋" w:hAnsi="宋体" w:cs="宋体"/>
                <w:kern w:val="0"/>
                <w:szCs w:val="21"/>
              </w:rPr>
              <w:t>17424</w:t>
            </w:r>
          </w:p>
        </w:tc>
        <w:tc>
          <w:tcPr>
            <w:tcW w:w="849" w:type="dxa"/>
            <w:gridSpan w:val="2"/>
            <w:tcBorders>
              <w:top w:val="nil"/>
              <w:left w:val="nil"/>
              <w:bottom w:val="single" w:sz="4" w:space="0" w:color="auto"/>
              <w:right w:val="single" w:sz="4" w:space="0" w:color="auto"/>
            </w:tcBorders>
            <w:shd w:val="clear" w:color="auto" w:fill="auto"/>
            <w:vAlign w:val="center"/>
          </w:tcPr>
          <w:p w:rsidR="00C47CD0" w:rsidRPr="00FA280B" w:rsidRDefault="00081AE9">
            <w:pPr>
              <w:widowControl/>
              <w:jc w:val="center"/>
              <w:rPr>
                <w:rFonts w:ascii="仿宋" w:eastAsia="仿宋" w:hAnsi="宋体" w:cs="宋体"/>
                <w:kern w:val="0"/>
                <w:szCs w:val="21"/>
              </w:rPr>
            </w:pPr>
            <w:r w:rsidRPr="00FA280B">
              <w:rPr>
                <w:rFonts w:ascii="仿宋" w:eastAsia="仿宋" w:hAnsi="宋体" w:cs="宋体"/>
                <w:kern w:val="0"/>
                <w:szCs w:val="21"/>
              </w:rPr>
              <w:t>15225</w:t>
            </w:r>
          </w:p>
        </w:tc>
        <w:tc>
          <w:tcPr>
            <w:tcW w:w="846" w:type="dxa"/>
            <w:gridSpan w:val="2"/>
            <w:tcBorders>
              <w:top w:val="nil"/>
              <w:left w:val="nil"/>
              <w:bottom w:val="single" w:sz="4" w:space="0" w:color="auto"/>
              <w:right w:val="single" w:sz="4" w:space="0" w:color="auto"/>
            </w:tcBorders>
            <w:shd w:val="clear" w:color="auto" w:fill="auto"/>
            <w:vAlign w:val="center"/>
          </w:tcPr>
          <w:p w:rsidR="00C47CD0" w:rsidRPr="00FA280B" w:rsidRDefault="007704A4">
            <w:pPr>
              <w:widowControl/>
              <w:jc w:val="center"/>
              <w:rPr>
                <w:rFonts w:ascii="仿宋" w:eastAsia="仿宋" w:hAnsi="宋体" w:cs="宋体"/>
                <w:kern w:val="0"/>
                <w:szCs w:val="21"/>
              </w:rPr>
            </w:pPr>
            <w:r w:rsidRPr="00FA280B">
              <w:rPr>
                <w:rFonts w:ascii="仿宋" w:eastAsia="仿宋" w:hAnsi="宋体" w:cs="宋体"/>
                <w:kern w:val="0"/>
                <w:szCs w:val="21"/>
              </w:rPr>
              <w:t>87.37</w:t>
            </w:r>
          </w:p>
        </w:tc>
        <w:tc>
          <w:tcPr>
            <w:tcW w:w="951" w:type="dxa"/>
            <w:gridSpan w:val="2"/>
            <w:tcBorders>
              <w:top w:val="nil"/>
              <w:left w:val="nil"/>
              <w:bottom w:val="single" w:sz="4" w:space="0" w:color="auto"/>
              <w:right w:val="single" w:sz="4" w:space="0" w:color="auto"/>
            </w:tcBorders>
            <w:shd w:val="clear" w:color="auto" w:fill="auto"/>
            <w:vAlign w:val="center"/>
          </w:tcPr>
          <w:p w:rsidR="00B62ABF" w:rsidRPr="0008647F" w:rsidRDefault="007704A4" w:rsidP="00B62ABF">
            <w:pPr>
              <w:widowControl/>
              <w:jc w:val="center"/>
              <w:rPr>
                <w:rFonts w:ascii="仿宋" w:eastAsia="仿宋" w:hAnsi="宋体" w:cs="宋体"/>
                <w:kern w:val="0"/>
                <w:szCs w:val="21"/>
              </w:rPr>
            </w:pPr>
            <w:r w:rsidRPr="0008647F">
              <w:rPr>
                <w:rFonts w:ascii="仿宋" w:eastAsia="仿宋" w:hAnsi="宋体" w:cs="宋体"/>
                <w:kern w:val="0"/>
                <w:szCs w:val="21"/>
              </w:rPr>
              <w:t>18.08</w:t>
            </w:r>
          </w:p>
        </w:tc>
        <w:tc>
          <w:tcPr>
            <w:tcW w:w="980" w:type="dxa"/>
            <w:gridSpan w:val="2"/>
            <w:tcBorders>
              <w:top w:val="nil"/>
              <w:left w:val="nil"/>
              <w:bottom w:val="single" w:sz="4" w:space="0" w:color="auto"/>
              <w:right w:val="single" w:sz="4" w:space="0" w:color="auto"/>
            </w:tcBorders>
            <w:shd w:val="clear" w:color="auto" w:fill="auto"/>
            <w:vAlign w:val="center"/>
          </w:tcPr>
          <w:p w:rsidR="009667D9" w:rsidRPr="00150EEF" w:rsidRDefault="007704A4" w:rsidP="00B752D1">
            <w:pPr>
              <w:widowControl/>
              <w:jc w:val="center"/>
              <w:rPr>
                <w:rFonts w:ascii="仿宋" w:eastAsia="仿宋" w:hAnsi="宋体" w:cs="宋体"/>
                <w:kern w:val="0"/>
                <w:szCs w:val="21"/>
              </w:rPr>
            </w:pPr>
            <w:r w:rsidRPr="00150EEF">
              <w:rPr>
                <w:rFonts w:ascii="仿宋" w:eastAsia="仿宋" w:hAnsi="宋体" w:cs="宋体"/>
                <w:kern w:val="0"/>
                <w:szCs w:val="21"/>
              </w:rPr>
              <w:t>16.75</w:t>
            </w:r>
          </w:p>
        </w:tc>
        <w:tc>
          <w:tcPr>
            <w:tcW w:w="760" w:type="dxa"/>
            <w:gridSpan w:val="2"/>
            <w:tcBorders>
              <w:top w:val="nil"/>
              <w:left w:val="nil"/>
              <w:bottom w:val="single" w:sz="4" w:space="0" w:color="auto"/>
              <w:right w:val="single" w:sz="4" w:space="0" w:color="auto"/>
            </w:tcBorders>
            <w:shd w:val="clear" w:color="auto" w:fill="auto"/>
            <w:vAlign w:val="center"/>
          </w:tcPr>
          <w:p w:rsidR="00AC7F8F" w:rsidRPr="00150EEF" w:rsidRDefault="007704A4" w:rsidP="00B752D1">
            <w:pPr>
              <w:widowControl/>
              <w:jc w:val="center"/>
              <w:rPr>
                <w:rFonts w:ascii="仿宋" w:eastAsia="仿宋" w:hAnsi="宋体" w:cs="宋体"/>
                <w:kern w:val="0"/>
                <w:szCs w:val="21"/>
              </w:rPr>
            </w:pPr>
            <w:r w:rsidRPr="00150EEF">
              <w:rPr>
                <w:rFonts w:ascii="仿宋" w:eastAsia="仿宋" w:hAnsi="宋体" w:cs="宋体"/>
                <w:kern w:val="0"/>
                <w:szCs w:val="21"/>
              </w:rPr>
              <w:t>3.75</w:t>
            </w:r>
          </w:p>
        </w:tc>
        <w:tc>
          <w:tcPr>
            <w:tcW w:w="803" w:type="dxa"/>
            <w:gridSpan w:val="2"/>
            <w:tcBorders>
              <w:top w:val="nil"/>
              <w:left w:val="nil"/>
              <w:bottom w:val="single" w:sz="4" w:space="0" w:color="auto"/>
              <w:right w:val="single" w:sz="4" w:space="0" w:color="auto"/>
            </w:tcBorders>
            <w:shd w:val="clear" w:color="auto" w:fill="auto"/>
            <w:vAlign w:val="center"/>
          </w:tcPr>
          <w:p w:rsidR="00AC7F8F" w:rsidRPr="0008647F" w:rsidRDefault="0008647F">
            <w:pPr>
              <w:widowControl/>
              <w:jc w:val="center"/>
              <w:rPr>
                <w:rFonts w:ascii="仿宋" w:eastAsia="仿宋" w:hAnsi="宋体" w:cs="宋体"/>
                <w:kern w:val="0"/>
                <w:szCs w:val="21"/>
              </w:rPr>
            </w:pPr>
            <w:r w:rsidRPr="0008647F">
              <w:rPr>
                <w:rFonts w:ascii="仿宋" w:eastAsia="仿宋" w:hAnsi="宋体" w:cs="宋体" w:hint="eastAsia"/>
                <w:kern w:val="0"/>
                <w:szCs w:val="21"/>
              </w:rPr>
              <w:t>62.26</w:t>
            </w:r>
          </w:p>
        </w:tc>
        <w:tc>
          <w:tcPr>
            <w:tcW w:w="851" w:type="dxa"/>
            <w:gridSpan w:val="2"/>
            <w:tcBorders>
              <w:top w:val="nil"/>
              <w:left w:val="nil"/>
              <w:bottom w:val="single" w:sz="4" w:space="0" w:color="auto"/>
              <w:right w:val="single" w:sz="4" w:space="0" w:color="auto"/>
            </w:tcBorders>
            <w:shd w:val="clear" w:color="auto" w:fill="auto"/>
            <w:vAlign w:val="center"/>
          </w:tcPr>
          <w:p w:rsidR="00C47CD0" w:rsidRDefault="007F6116">
            <w:pPr>
              <w:widowControl/>
              <w:jc w:val="center"/>
              <w:rPr>
                <w:rFonts w:ascii="仿宋" w:eastAsia="仿宋" w:hAnsi="宋体" w:cs="宋体"/>
                <w:kern w:val="0"/>
                <w:szCs w:val="21"/>
              </w:rPr>
            </w:pPr>
            <w:r>
              <w:rPr>
                <w:rFonts w:ascii="仿宋" w:eastAsia="仿宋" w:hAnsi="宋体" w:cs="宋体"/>
                <w:kern w:val="0"/>
                <w:szCs w:val="21"/>
              </w:rPr>
              <w:t>25636.85</w:t>
            </w:r>
          </w:p>
        </w:tc>
        <w:tc>
          <w:tcPr>
            <w:tcW w:w="1000" w:type="dxa"/>
            <w:gridSpan w:val="2"/>
            <w:tcBorders>
              <w:top w:val="nil"/>
              <w:left w:val="nil"/>
              <w:bottom w:val="single" w:sz="4" w:space="0" w:color="auto"/>
              <w:right w:val="single" w:sz="4" w:space="0" w:color="auto"/>
            </w:tcBorders>
            <w:shd w:val="clear" w:color="auto" w:fill="auto"/>
            <w:vAlign w:val="center"/>
          </w:tcPr>
          <w:p w:rsidR="00C47CD0" w:rsidRDefault="007F6116">
            <w:pPr>
              <w:widowControl/>
              <w:jc w:val="center"/>
              <w:rPr>
                <w:rFonts w:ascii="仿宋" w:eastAsia="仿宋" w:hAnsi="宋体" w:cs="宋体"/>
                <w:kern w:val="0"/>
                <w:szCs w:val="21"/>
              </w:rPr>
            </w:pPr>
            <w:r>
              <w:rPr>
                <w:rFonts w:ascii="仿宋" w:eastAsia="仿宋" w:hAnsi="宋体" w:cs="宋体"/>
                <w:kern w:val="0"/>
                <w:szCs w:val="21"/>
              </w:rPr>
              <w:t>1742.96</w:t>
            </w:r>
          </w:p>
        </w:tc>
        <w:tc>
          <w:tcPr>
            <w:tcW w:w="1256" w:type="dxa"/>
            <w:gridSpan w:val="2"/>
            <w:tcBorders>
              <w:top w:val="nil"/>
              <w:left w:val="nil"/>
              <w:bottom w:val="single" w:sz="4" w:space="0" w:color="auto"/>
              <w:right w:val="single" w:sz="4" w:space="0" w:color="auto"/>
            </w:tcBorders>
            <w:shd w:val="clear" w:color="auto" w:fill="auto"/>
            <w:vAlign w:val="center"/>
          </w:tcPr>
          <w:p w:rsidR="00C47CD0" w:rsidRPr="00150EEF" w:rsidRDefault="007704A4" w:rsidP="00460459">
            <w:pPr>
              <w:widowControl/>
              <w:jc w:val="center"/>
              <w:rPr>
                <w:rFonts w:ascii="仿宋" w:eastAsia="仿宋" w:hAnsi="宋体" w:cs="宋体"/>
                <w:kern w:val="0"/>
                <w:szCs w:val="21"/>
              </w:rPr>
            </w:pPr>
            <w:r w:rsidRPr="00150EEF">
              <w:rPr>
                <w:rFonts w:ascii="仿宋" w:eastAsia="仿宋" w:hAnsi="宋体" w:cs="宋体"/>
                <w:kern w:val="0"/>
                <w:szCs w:val="21"/>
              </w:rPr>
              <w:t>13408.04</w:t>
            </w:r>
          </w:p>
        </w:tc>
        <w:tc>
          <w:tcPr>
            <w:tcW w:w="880" w:type="dxa"/>
            <w:gridSpan w:val="2"/>
            <w:tcBorders>
              <w:top w:val="nil"/>
              <w:left w:val="nil"/>
              <w:bottom w:val="single" w:sz="4" w:space="0" w:color="auto"/>
              <w:right w:val="single" w:sz="4" w:space="0" w:color="auto"/>
            </w:tcBorders>
            <w:shd w:val="clear" w:color="auto" w:fill="auto"/>
            <w:vAlign w:val="center"/>
          </w:tcPr>
          <w:p w:rsidR="00C47CD0" w:rsidRPr="00150EEF" w:rsidRDefault="00081AE9">
            <w:pPr>
              <w:widowControl/>
              <w:jc w:val="center"/>
              <w:rPr>
                <w:rFonts w:ascii="仿宋" w:eastAsia="仿宋" w:hAnsi="宋体" w:cs="宋体"/>
                <w:kern w:val="0"/>
                <w:szCs w:val="21"/>
              </w:rPr>
            </w:pPr>
            <w:r w:rsidRPr="00150EEF">
              <w:rPr>
                <w:rFonts w:ascii="仿宋" w:eastAsia="仿宋" w:hAnsi="宋体" w:cs="宋体"/>
                <w:kern w:val="0"/>
                <w:szCs w:val="21"/>
              </w:rPr>
              <w:t>2091</w:t>
            </w:r>
          </w:p>
        </w:tc>
        <w:tc>
          <w:tcPr>
            <w:tcW w:w="849"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99</w:t>
            </w:r>
          </w:p>
        </w:tc>
        <w:tc>
          <w:tcPr>
            <w:tcW w:w="849"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113</w:t>
            </w:r>
          </w:p>
        </w:tc>
      </w:tr>
      <w:tr w:rsidR="00C47CD0" w:rsidTr="00460459">
        <w:trPr>
          <w:gridAfter w:val="1"/>
          <w:wAfter w:w="18" w:type="dxa"/>
          <w:trHeight w:val="748"/>
        </w:trPr>
        <w:tc>
          <w:tcPr>
            <w:tcW w:w="14471" w:type="dxa"/>
            <w:gridSpan w:val="31"/>
            <w:tcBorders>
              <w:top w:val="nil"/>
              <w:left w:val="nil"/>
              <w:bottom w:val="nil"/>
              <w:right w:val="nil"/>
            </w:tcBorders>
            <w:shd w:val="clear" w:color="auto" w:fill="auto"/>
            <w:vAlign w:val="center"/>
          </w:tcPr>
          <w:p w:rsidR="00C47CD0" w:rsidRDefault="00081AE9">
            <w:pPr>
              <w:widowControl/>
              <w:jc w:val="center"/>
              <w:rPr>
                <w:rFonts w:ascii="宋体" w:hAnsi="宋体" w:cs="宋体"/>
                <w:b/>
                <w:bCs/>
                <w:kern w:val="0"/>
                <w:szCs w:val="21"/>
              </w:rPr>
            </w:pPr>
            <w:r>
              <w:rPr>
                <w:rFonts w:ascii="宋体" w:hAnsi="宋体" w:cs="宋体" w:hint="eastAsia"/>
                <w:b/>
                <w:bCs/>
                <w:kern w:val="0"/>
                <w:szCs w:val="21"/>
              </w:rPr>
              <w:t>本科教学质量报告基本数据表二</w:t>
            </w:r>
          </w:p>
        </w:tc>
      </w:tr>
      <w:tr w:rsidR="00C47CD0" w:rsidTr="00460459">
        <w:trPr>
          <w:gridAfter w:val="1"/>
          <w:wAfter w:w="18" w:type="dxa"/>
          <w:trHeight w:val="135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序号</w:t>
            </w:r>
          </w:p>
        </w:tc>
        <w:tc>
          <w:tcPr>
            <w:tcW w:w="815"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学校名称</w:t>
            </w:r>
          </w:p>
        </w:tc>
        <w:tc>
          <w:tcPr>
            <w:tcW w:w="849"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专任教师数（人）</w:t>
            </w:r>
          </w:p>
        </w:tc>
        <w:tc>
          <w:tcPr>
            <w:tcW w:w="100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副高及以上职称教师比例（%）</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硕士及以上学位教师比例（%）</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本科生授课教授占教授比例（%）</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年度录取新生数（名）</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第一志愿录取率（%）</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报到率（%）</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区外新生比例（%）</w:t>
            </w:r>
          </w:p>
        </w:tc>
        <w:tc>
          <w:tcPr>
            <w:tcW w:w="922"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应届本科毕业生人数（名）</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应届本科生毕业率（%）</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应届本科生学位授予率（%）</w:t>
            </w:r>
          </w:p>
        </w:tc>
        <w:tc>
          <w:tcPr>
            <w:tcW w:w="1159"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应届本科生就业率（%）</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用人单位毕业生满意率（%）</w:t>
            </w:r>
          </w:p>
        </w:tc>
        <w:tc>
          <w:tcPr>
            <w:tcW w:w="923" w:type="dxa"/>
            <w:gridSpan w:val="2"/>
            <w:tcBorders>
              <w:top w:val="single" w:sz="4" w:space="0" w:color="auto"/>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b/>
                <w:bCs/>
                <w:kern w:val="0"/>
                <w:szCs w:val="21"/>
              </w:rPr>
            </w:pPr>
            <w:r>
              <w:rPr>
                <w:rFonts w:ascii="仿宋" w:eastAsia="仿宋" w:hAnsi="宋体" w:cs="宋体" w:hint="eastAsia"/>
                <w:b/>
                <w:bCs/>
                <w:kern w:val="0"/>
                <w:szCs w:val="21"/>
              </w:rPr>
              <w:t>学生体质测试达标率（%）</w:t>
            </w:r>
          </w:p>
        </w:tc>
      </w:tr>
      <w:tr w:rsidR="00C47CD0" w:rsidTr="00460459">
        <w:trPr>
          <w:gridAfter w:val="1"/>
          <w:wAfter w:w="18" w:type="dxa"/>
          <w:trHeight w:val="402"/>
        </w:trPr>
        <w:tc>
          <w:tcPr>
            <w:tcW w:w="460" w:type="dxa"/>
            <w:tcBorders>
              <w:top w:val="nil"/>
              <w:left w:val="single" w:sz="4" w:space="0" w:color="auto"/>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1</w:t>
            </w:r>
          </w:p>
        </w:tc>
        <w:tc>
          <w:tcPr>
            <w:tcW w:w="815"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新疆农业大学</w:t>
            </w:r>
          </w:p>
        </w:tc>
        <w:tc>
          <w:tcPr>
            <w:tcW w:w="849"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995</w:t>
            </w:r>
          </w:p>
        </w:tc>
        <w:tc>
          <w:tcPr>
            <w:tcW w:w="1000"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41.61</w:t>
            </w:r>
          </w:p>
        </w:tc>
        <w:tc>
          <w:tcPr>
            <w:tcW w:w="960"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74.97</w:t>
            </w:r>
          </w:p>
        </w:tc>
        <w:tc>
          <w:tcPr>
            <w:tcW w:w="922"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97.8</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3812</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84.5</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96</w:t>
            </w:r>
            <w:r>
              <w:rPr>
                <w:rFonts w:ascii="仿宋" w:eastAsia="仿宋" w:hAnsi="宋体" w:cs="宋体"/>
                <w:kern w:val="0"/>
                <w:szCs w:val="21"/>
              </w:rPr>
              <w:t>.74</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14.6</w:t>
            </w:r>
          </w:p>
        </w:tc>
        <w:tc>
          <w:tcPr>
            <w:tcW w:w="922"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32</w:t>
            </w:r>
            <w:r>
              <w:rPr>
                <w:rFonts w:ascii="仿宋" w:eastAsia="仿宋" w:hAnsi="宋体" w:cs="宋体"/>
                <w:kern w:val="0"/>
                <w:szCs w:val="21"/>
              </w:rPr>
              <w:t>41</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97.93</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92.94</w:t>
            </w:r>
          </w:p>
        </w:tc>
        <w:tc>
          <w:tcPr>
            <w:tcW w:w="1159"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hint="eastAsia"/>
                <w:kern w:val="0"/>
                <w:szCs w:val="21"/>
              </w:rPr>
              <w:t>8</w:t>
            </w:r>
            <w:r>
              <w:rPr>
                <w:rFonts w:ascii="仿宋" w:eastAsia="仿宋" w:hAnsi="宋体" w:cs="宋体"/>
                <w:kern w:val="0"/>
                <w:szCs w:val="21"/>
              </w:rPr>
              <w:t>8</w:t>
            </w:r>
            <w:r>
              <w:rPr>
                <w:rFonts w:ascii="仿宋" w:eastAsia="仿宋" w:hAnsi="宋体" w:cs="宋体" w:hint="eastAsia"/>
                <w:kern w:val="0"/>
                <w:szCs w:val="21"/>
              </w:rPr>
              <w:t>.</w:t>
            </w:r>
            <w:r>
              <w:rPr>
                <w:rFonts w:ascii="仿宋" w:eastAsia="仿宋" w:hAnsi="宋体" w:cs="宋体"/>
                <w:kern w:val="0"/>
                <w:szCs w:val="21"/>
              </w:rPr>
              <w:t>88</w:t>
            </w:r>
          </w:p>
        </w:tc>
        <w:tc>
          <w:tcPr>
            <w:tcW w:w="923" w:type="dxa"/>
            <w:gridSpan w:val="2"/>
            <w:tcBorders>
              <w:top w:val="nil"/>
              <w:left w:val="nil"/>
              <w:bottom w:val="single" w:sz="4" w:space="0" w:color="auto"/>
              <w:right w:val="single" w:sz="4" w:space="0" w:color="auto"/>
            </w:tcBorders>
            <w:shd w:val="clear" w:color="auto" w:fill="auto"/>
            <w:vAlign w:val="center"/>
          </w:tcPr>
          <w:p w:rsidR="00C47CD0" w:rsidRPr="004B40FB" w:rsidRDefault="00081AE9">
            <w:pPr>
              <w:widowControl/>
              <w:jc w:val="center"/>
              <w:rPr>
                <w:rFonts w:ascii="仿宋" w:eastAsia="仿宋" w:hAnsi="宋体" w:cs="宋体"/>
                <w:kern w:val="0"/>
                <w:szCs w:val="21"/>
              </w:rPr>
            </w:pPr>
            <w:r w:rsidRPr="004B40FB">
              <w:rPr>
                <w:rFonts w:ascii="仿宋" w:eastAsia="仿宋" w:hAnsi="宋体" w:cs="宋体"/>
                <w:kern w:val="0"/>
                <w:szCs w:val="21"/>
              </w:rPr>
              <w:t>-</w:t>
            </w:r>
          </w:p>
        </w:tc>
        <w:tc>
          <w:tcPr>
            <w:tcW w:w="923" w:type="dxa"/>
            <w:gridSpan w:val="2"/>
            <w:tcBorders>
              <w:top w:val="nil"/>
              <w:left w:val="nil"/>
              <w:bottom w:val="single" w:sz="4" w:space="0" w:color="auto"/>
              <w:right w:val="single" w:sz="4" w:space="0" w:color="auto"/>
            </w:tcBorders>
            <w:shd w:val="clear" w:color="auto" w:fill="auto"/>
            <w:vAlign w:val="center"/>
          </w:tcPr>
          <w:p w:rsidR="00C47CD0" w:rsidRDefault="00081AE9">
            <w:pPr>
              <w:widowControl/>
              <w:jc w:val="center"/>
              <w:rPr>
                <w:rFonts w:ascii="仿宋" w:eastAsia="仿宋" w:hAnsi="宋体" w:cs="宋体"/>
                <w:kern w:val="0"/>
                <w:szCs w:val="21"/>
              </w:rPr>
            </w:pPr>
            <w:r>
              <w:rPr>
                <w:rFonts w:ascii="仿宋" w:eastAsia="仿宋" w:hAnsi="宋体" w:cs="宋体"/>
                <w:kern w:val="0"/>
                <w:szCs w:val="21"/>
              </w:rPr>
              <w:t>90.41</w:t>
            </w:r>
          </w:p>
        </w:tc>
      </w:tr>
    </w:tbl>
    <w:p w:rsidR="00C47CD0" w:rsidRDefault="00C47CD0">
      <w:pPr>
        <w:tabs>
          <w:tab w:val="left" w:leader="middleDot" w:pos="8190"/>
        </w:tabs>
        <w:rPr>
          <w:rFonts w:ascii="仿宋_GB2312" w:eastAsia="仿宋_GB2312"/>
          <w:sz w:val="32"/>
          <w:szCs w:val="32"/>
        </w:rPr>
      </w:pPr>
    </w:p>
    <w:sectPr w:rsidR="00C47CD0" w:rsidSect="006852D9">
      <w:footerReference w:type="default" r:id="rId22"/>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9D3" w:rsidRDefault="009449D3">
      <w:r>
        <w:separator/>
      </w:r>
    </w:p>
  </w:endnote>
  <w:endnote w:type="continuationSeparator" w:id="0">
    <w:p w:rsidR="009449D3" w:rsidRDefault="00944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AB8" w:rsidRDefault="006A6AB8">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00860">
      <w:rPr>
        <w:rStyle w:val="aa"/>
        <w:noProof/>
      </w:rPr>
      <w:t>2</w:t>
    </w:r>
    <w:r>
      <w:rPr>
        <w:rStyle w:val="aa"/>
      </w:rPr>
      <w:fldChar w:fldCharType="end"/>
    </w:r>
  </w:p>
  <w:p w:rsidR="006A6AB8" w:rsidRDefault="006A6AB8">
    <w:pPr>
      <w:pStyle w:val="a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AB8" w:rsidRDefault="006A6AB8">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00860">
      <w:rPr>
        <w:rStyle w:val="aa"/>
        <w:noProof/>
      </w:rPr>
      <w:t>65</w:t>
    </w:r>
    <w:r>
      <w:rPr>
        <w:rStyle w:val="aa"/>
      </w:rPr>
      <w:fldChar w:fldCharType="end"/>
    </w:r>
  </w:p>
  <w:p w:rsidR="006A6AB8" w:rsidRDefault="006A6AB8">
    <w:pPr>
      <w:pStyle w:val="a7"/>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9D3" w:rsidRDefault="009449D3">
      <w:r>
        <w:separator/>
      </w:r>
    </w:p>
  </w:footnote>
  <w:footnote w:type="continuationSeparator" w:id="0">
    <w:p w:rsidR="009449D3" w:rsidRDefault="009449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23361"/>
    <w:rsid w:val="00024A9A"/>
    <w:rsid w:val="0002652E"/>
    <w:rsid w:val="000314D1"/>
    <w:rsid w:val="00042459"/>
    <w:rsid w:val="00052E6E"/>
    <w:rsid w:val="00062ABB"/>
    <w:rsid w:val="000700CA"/>
    <w:rsid w:val="000818D9"/>
    <w:rsid w:val="00081AE9"/>
    <w:rsid w:val="0008647F"/>
    <w:rsid w:val="000913B7"/>
    <w:rsid w:val="00095657"/>
    <w:rsid w:val="000A5287"/>
    <w:rsid w:val="000E1940"/>
    <w:rsid w:val="000F30D9"/>
    <w:rsid w:val="00130DB4"/>
    <w:rsid w:val="001353EF"/>
    <w:rsid w:val="00150EEF"/>
    <w:rsid w:val="00151A1C"/>
    <w:rsid w:val="001552C3"/>
    <w:rsid w:val="00156203"/>
    <w:rsid w:val="00160C4B"/>
    <w:rsid w:val="00172B38"/>
    <w:rsid w:val="0017378C"/>
    <w:rsid w:val="00177292"/>
    <w:rsid w:val="00186A66"/>
    <w:rsid w:val="001A1E72"/>
    <w:rsid w:val="001A6867"/>
    <w:rsid w:val="001B382A"/>
    <w:rsid w:val="001C547F"/>
    <w:rsid w:val="001D1118"/>
    <w:rsid w:val="001D4E72"/>
    <w:rsid w:val="001E0760"/>
    <w:rsid w:val="001E49EB"/>
    <w:rsid w:val="002000F3"/>
    <w:rsid w:val="00226E13"/>
    <w:rsid w:val="00230B24"/>
    <w:rsid w:val="00237DA6"/>
    <w:rsid w:val="002479DA"/>
    <w:rsid w:val="00272345"/>
    <w:rsid w:val="00272BCC"/>
    <w:rsid w:val="00285932"/>
    <w:rsid w:val="002931D2"/>
    <w:rsid w:val="002A53FA"/>
    <w:rsid w:val="002A7E7D"/>
    <w:rsid w:val="002B4628"/>
    <w:rsid w:val="002B5D03"/>
    <w:rsid w:val="002B6C87"/>
    <w:rsid w:val="002C0FFB"/>
    <w:rsid w:val="002C58DB"/>
    <w:rsid w:val="002D0BE4"/>
    <w:rsid w:val="002D1B93"/>
    <w:rsid w:val="002D3FD1"/>
    <w:rsid w:val="002E6B42"/>
    <w:rsid w:val="00303363"/>
    <w:rsid w:val="00315326"/>
    <w:rsid w:val="00320743"/>
    <w:rsid w:val="00325618"/>
    <w:rsid w:val="00326620"/>
    <w:rsid w:val="0033427E"/>
    <w:rsid w:val="00335910"/>
    <w:rsid w:val="00366F0A"/>
    <w:rsid w:val="00370772"/>
    <w:rsid w:val="00382F0F"/>
    <w:rsid w:val="0039757E"/>
    <w:rsid w:val="003C6CB9"/>
    <w:rsid w:val="00443B71"/>
    <w:rsid w:val="00460459"/>
    <w:rsid w:val="004641A0"/>
    <w:rsid w:val="0048264E"/>
    <w:rsid w:val="00482B00"/>
    <w:rsid w:val="004873E6"/>
    <w:rsid w:val="00490A44"/>
    <w:rsid w:val="00494228"/>
    <w:rsid w:val="004B40FB"/>
    <w:rsid w:val="004C4A57"/>
    <w:rsid w:val="00514358"/>
    <w:rsid w:val="00516A87"/>
    <w:rsid w:val="005213D8"/>
    <w:rsid w:val="00523F40"/>
    <w:rsid w:val="005303A8"/>
    <w:rsid w:val="00536F1D"/>
    <w:rsid w:val="005529ED"/>
    <w:rsid w:val="00593304"/>
    <w:rsid w:val="005B0CF7"/>
    <w:rsid w:val="005D21D2"/>
    <w:rsid w:val="005D5665"/>
    <w:rsid w:val="005E0E33"/>
    <w:rsid w:val="005E7516"/>
    <w:rsid w:val="005F077A"/>
    <w:rsid w:val="00607C58"/>
    <w:rsid w:val="00626188"/>
    <w:rsid w:val="0063121E"/>
    <w:rsid w:val="006464BF"/>
    <w:rsid w:val="006809F8"/>
    <w:rsid w:val="006852D9"/>
    <w:rsid w:val="00685BB6"/>
    <w:rsid w:val="006A6AB8"/>
    <w:rsid w:val="006C3F41"/>
    <w:rsid w:val="006D0C63"/>
    <w:rsid w:val="006D4FCB"/>
    <w:rsid w:val="006D77EE"/>
    <w:rsid w:val="0071725E"/>
    <w:rsid w:val="00734E0F"/>
    <w:rsid w:val="007371DC"/>
    <w:rsid w:val="00750830"/>
    <w:rsid w:val="00751D59"/>
    <w:rsid w:val="00764EAF"/>
    <w:rsid w:val="007704A4"/>
    <w:rsid w:val="00772670"/>
    <w:rsid w:val="00786138"/>
    <w:rsid w:val="007B1B63"/>
    <w:rsid w:val="007D791F"/>
    <w:rsid w:val="007E2486"/>
    <w:rsid w:val="007E52E6"/>
    <w:rsid w:val="007F6116"/>
    <w:rsid w:val="00800860"/>
    <w:rsid w:val="00804A21"/>
    <w:rsid w:val="00823361"/>
    <w:rsid w:val="0082496E"/>
    <w:rsid w:val="008433D2"/>
    <w:rsid w:val="00847CD2"/>
    <w:rsid w:val="008548F9"/>
    <w:rsid w:val="008646D5"/>
    <w:rsid w:val="008924E3"/>
    <w:rsid w:val="008A0787"/>
    <w:rsid w:val="008B04C9"/>
    <w:rsid w:val="008C1F52"/>
    <w:rsid w:val="008C4645"/>
    <w:rsid w:val="008D2988"/>
    <w:rsid w:val="008D5932"/>
    <w:rsid w:val="008D5988"/>
    <w:rsid w:val="008D5CF1"/>
    <w:rsid w:val="008E6A17"/>
    <w:rsid w:val="008F47A7"/>
    <w:rsid w:val="00903B38"/>
    <w:rsid w:val="00907E61"/>
    <w:rsid w:val="00910104"/>
    <w:rsid w:val="009139B6"/>
    <w:rsid w:val="00914863"/>
    <w:rsid w:val="00923DA3"/>
    <w:rsid w:val="009449D3"/>
    <w:rsid w:val="00960365"/>
    <w:rsid w:val="009667D9"/>
    <w:rsid w:val="00972691"/>
    <w:rsid w:val="0098076F"/>
    <w:rsid w:val="009854DC"/>
    <w:rsid w:val="009860A9"/>
    <w:rsid w:val="00991FCC"/>
    <w:rsid w:val="009A6179"/>
    <w:rsid w:val="009D6B3A"/>
    <w:rsid w:val="009E3DEA"/>
    <w:rsid w:val="009E57C3"/>
    <w:rsid w:val="009E68A7"/>
    <w:rsid w:val="009F6172"/>
    <w:rsid w:val="00A0422D"/>
    <w:rsid w:val="00A066E6"/>
    <w:rsid w:val="00A10FEE"/>
    <w:rsid w:val="00A2658F"/>
    <w:rsid w:val="00A37859"/>
    <w:rsid w:val="00A64F86"/>
    <w:rsid w:val="00A75FF2"/>
    <w:rsid w:val="00A95824"/>
    <w:rsid w:val="00A96600"/>
    <w:rsid w:val="00AA6B42"/>
    <w:rsid w:val="00AB5A5F"/>
    <w:rsid w:val="00AC7F8F"/>
    <w:rsid w:val="00B006B5"/>
    <w:rsid w:val="00B06859"/>
    <w:rsid w:val="00B214AF"/>
    <w:rsid w:val="00B22F1D"/>
    <w:rsid w:val="00B32331"/>
    <w:rsid w:val="00B44EF3"/>
    <w:rsid w:val="00B5483C"/>
    <w:rsid w:val="00B56B2D"/>
    <w:rsid w:val="00B62ABF"/>
    <w:rsid w:val="00B66D33"/>
    <w:rsid w:val="00B707C6"/>
    <w:rsid w:val="00B752D1"/>
    <w:rsid w:val="00B92B51"/>
    <w:rsid w:val="00BC3023"/>
    <w:rsid w:val="00BC7BE0"/>
    <w:rsid w:val="00BF31EA"/>
    <w:rsid w:val="00BF4694"/>
    <w:rsid w:val="00BF6B1B"/>
    <w:rsid w:val="00BF7820"/>
    <w:rsid w:val="00BF7EAA"/>
    <w:rsid w:val="00C21B38"/>
    <w:rsid w:val="00C26B6E"/>
    <w:rsid w:val="00C3303C"/>
    <w:rsid w:val="00C47CD0"/>
    <w:rsid w:val="00C55B03"/>
    <w:rsid w:val="00C56E9F"/>
    <w:rsid w:val="00C82A9A"/>
    <w:rsid w:val="00C93BB3"/>
    <w:rsid w:val="00C9462C"/>
    <w:rsid w:val="00CC1E36"/>
    <w:rsid w:val="00CC337D"/>
    <w:rsid w:val="00CC4383"/>
    <w:rsid w:val="00CC61F8"/>
    <w:rsid w:val="00CD43E3"/>
    <w:rsid w:val="00CE371B"/>
    <w:rsid w:val="00CE7E39"/>
    <w:rsid w:val="00CF2766"/>
    <w:rsid w:val="00D00126"/>
    <w:rsid w:val="00D03A35"/>
    <w:rsid w:val="00D142A0"/>
    <w:rsid w:val="00D24D08"/>
    <w:rsid w:val="00D272F2"/>
    <w:rsid w:val="00D355A6"/>
    <w:rsid w:val="00D37A1F"/>
    <w:rsid w:val="00D75933"/>
    <w:rsid w:val="00D81EA5"/>
    <w:rsid w:val="00D82B3C"/>
    <w:rsid w:val="00D82C62"/>
    <w:rsid w:val="00D82DAE"/>
    <w:rsid w:val="00DC5BB1"/>
    <w:rsid w:val="00DE230E"/>
    <w:rsid w:val="00DF3895"/>
    <w:rsid w:val="00E061D8"/>
    <w:rsid w:val="00E215F9"/>
    <w:rsid w:val="00E35BF7"/>
    <w:rsid w:val="00E3710F"/>
    <w:rsid w:val="00E409F5"/>
    <w:rsid w:val="00E56948"/>
    <w:rsid w:val="00E81F90"/>
    <w:rsid w:val="00E82E78"/>
    <w:rsid w:val="00E86E98"/>
    <w:rsid w:val="00E90F40"/>
    <w:rsid w:val="00EC356C"/>
    <w:rsid w:val="00EC4612"/>
    <w:rsid w:val="00EC505F"/>
    <w:rsid w:val="00EC5BA3"/>
    <w:rsid w:val="00EE57E9"/>
    <w:rsid w:val="00F10681"/>
    <w:rsid w:val="00F111C9"/>
    <w:rsid w:val="00F15D39"/>
    <w:rsid w:val="00F30E4D"/>
    <w:rsid w:val="00F412BF"/>
    <w:rsid w:val="00F43B5D"/>
    <w:rsid w:val="00F55FBA"/>
    <w:rsid w:val="00F617FC"/>
    <w:rsid w:val="00F8720D"/>
    <w:rsid w:val="00F87405"/>
    <w:rsid w:val="00F908C8"/>
    <w:rsid w:val="00F96230"/>
    <w:rsid w:val="00F96D83"/>
    <w:rsid w:val="00FA0D9B"/>
    <w:rsid w:val="00FA1210"/>
    <w:rsid w:val="00FA280B"/>
    <w:rsid w:val="00FB3F22"/>
    <w:rsid w:val="00FD334A"/>
    <w:rsid w:val="00FD6989"/>
    <w:rsid w:val="00FE3F83"/>
    <w:rsid w:val="00FF5F9C"/>
    <w:rsid w:val="051C2857"/>
    <w:rsid w:val="05E45DF9"/>
    <w:rsid w:val="0A7445FD"/>
    <w:rsid w:val="0EC73233"/>
    <w:rsid w:val="1EB0316E"/>
    <w:rsid w:val="45FB2DCA"/>
    <w:rsid w:val="4F457B1A"/>
    <w:rsid w:val="50553C23"/>
    <w:rsid w:val="7B775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48B9BD3-9C5A-4AB7-99A5-B2256DBE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uiPriority="0" w:unhideWhenUsed="1" w:qFormat="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2D9"/>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6852D9"/>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6852D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qFormat/>
    <w:rsid w:val="006852D9"/>
    <w:rPr>
      <w:b/>
      <w:bCs/>
    </w:rPr>
  </w:style>
  <w:style w:type="paragraph" w:styleId="a4">
    <w:name w:val="annotation text"/>
    <w:basedOn w:val="a"/>
    <w:link w:val="Char0"/>
    <w:uiPriority w:val="99"/>
    <w:semiHidden/>
    <w:rsid w:val="006852D9"/>
    <w:pPr>
      <w:jc w:val="left"/>
    </w:pPr>
  </w:style>
  <w:style w:type="paragraph" w:styleId="a5">
    <w:name w:val="Document Map"/>
    <w:basedOn w:val="a"/>
    <w:link w:val="Char1"/>
    <w:semiHidden/>
    <w:rsid w:val="006852D9"/>
    <w:pPr>
      <w:shd w:val="clear" w:color="auto" w:fill="000080"/>
    </w:pPr>
  </w:style>
  <w:style w:type="paragraph" w:styleId="30">
    <w:name w:val="toc 3"/>
    <w:basedOn w:val="a"/>
    <w:next w:val="a"/>
    <w:uiPriority w:val="39"/>
    <w:rsid w:val="006852D9"/>
    <w:pPr>
      <w:ind w:leftChars="400" w:left="840"/>
    </w:pPr>
  </w:style>
  <w:style w:type="paragraph" w:styleId="a6">
    <w:name w:val="Balloon Text"/>
    <w:basedOn w:val="a"/>
    <w:link w:val="Char2"/>
    <w:unhideWhenUsed/>
    <w:qFormat/>
    <w:rsid w:val="006852D9"/>
    <w:rPr>
      <w:sz w:val="18"/>
      <w:szCs w:val="18"/>
    </w:rPr>
  </w:style>
  <w:style w:type="paragraph" w:styleId="a7">
    <w:name w:val="footer"/>
    <w:basedOn w:val="a"/>
    <w:link w:val="Char3"/>
    <w:unhideWhenUsed/>
    <w:rsid w:val="006852D9"/>
    <w:pPr>
      <w:tabs>
        <w:tab w:val="center" w:pos="4153"/>
        <w:tab w:val="right" w:pos="8306"/>
      </w:tabs>
      <w:snapToGrid w:val="0"/>
      <w:jc w:val="left"/>
    </w:pPr>
    <w:rPr>
      <w:sz w:val="18"/>
      <w:szCs w:val="18"/>
    </w:rPr>
  </w:style>
  <w:style w:type="paragraph" w:styleId="a8">
    <w:name w:val="header"/>
    <w:basedOn w:val="a"/>
    <w:link w:val="Char4"/>
    <w:unhideWhenUsed/>
    <w:qFormat/>
    <w:rsid w:val="006852D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852D9"/>
    <w:pPr>
      <w:tabs>
        <w:tab w:val="right" w:leader="dot" w:pos="8296"/>
      </w:tabs>
      <w:adjustRightInd w:val="0"/>
      <w:snapToGrid w:val="0"/>
      <w:spacing w:line="480" w:lineRule="auto"/>
    </w:pPr>
    <w:rPr>
      <w:sz w:val="32"/>
      <w:szCs w:val="32"/>
    </w:rPr>
  </w:style>
  <w:style w:type="paragraph" w:styleId="2">
    <w:name w:val="toc 2"/>
    <w:basedOn w:val="a"/>
    <w:next w:val="a"/>
    <w:uiPriority w:val="39"/>
    <w:qFormat/>
    <w:rsid w:val="006852D9"/>
    <w:pPr>
      <w:ind w:leftChars="200" w:left="420"/>
    </w:pPr>
  </w:style>
  <w:style w:type="paragraph" w:styleId="HTML">
    <w:name w:val="HTML Preformatted"/>
    <w:basedOn w:val="a"/>
    <w:link w:val="HTMLChar"/>
    <w:rsid w:val="006852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9">
    <w:name w:val="Normal (Web)"/>
    <w:basedOn w:val="a"/>
    <w:uiPriority w:val="99"/>
    <w:qFormat/>
    <w:rsid w:val="006852D9"/>
    <w:pPr>
      <w:widowControl/>
      <w:spacing w:before="100" w:beforeAutospacing="1" w:after="100" w:afterAutospacing="1"/>
      <w:jc w:val="left"/>
    </w:pPr>
    <w:rPr>
      <w:rFonts w:ascii="宋体" w:hAnsi="宋体" w:cs="宋体"/>
      <w:kern w:val="0"/>
      <w:sz w:val="24"/>
    </w:rPr>
  </w:style>
  <w:style w:type="character" w:styleId="aa">
    <w:name w:val="page number"/>
    <w:basedOn w:val="a0"/>
    <w:rsid w:val="006852D9"/>
  </w:style>
  <w:style w:type="character" w:styleId="ab">
    <w:name w:val="Hyperlink"/>
    <w:uiPriority w:val="99"/>
    <w:rsid w:val="006852D9"/>
    <w:rPr>
      <w:color w:val="0000FF"/>
      <w:u w:val="single"/>
    </w:rPr>
  </w:style>
  <w:style w:type="character" w:styleId="ac">
    <w:name w:val="annotation reference"/>
    <w:semiHidden/>
    <w:qFormat/>
    <w:rsid w:val="006852D9"/>
    <w:rPr>
      <w:sz w:val="21"/>
      <w:szCs w:val="21"/>
    </w:rPr>
  </w:style>
  <w:style w:type="table" w:styleId="ad">
    <w:name w:val="Table Grid"/>
    <w:basedOn w:val="a1"/>
    <w:uiPriority w:val="59"/>
    <w:rsid w:val="006852D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封面标题1"/>
    <w:qFormat/>
    <w:rsid w:val="006852D9"/>
    <w:pPr>
      <w:spacing w:line="360" w:lineRule="auto"/>
      <w:jc w:val="center"/>
    </w:pPr>
    <w:rPr>
      <w:rFonts w:ascii="仿宋_GB2312" w:eastAsia="仿宋_GB2312" w:hAnsi="Times New Roman" w:cs="Times New Roman"/>
      <w:b/>
      <w:kern w:val="44"/>
      <w:sz w:val="84"/>
      <w:szCs w:val="84"/>
    </w:rPr>
  </w:style>
  <w:style w:type="paragraph" w:customStyle="1" w:styleId="20">
    <w:name w:val="封面标题2"/>
    <w:rsid w:val="006852D9"/>
    <w:pPr>
      <w:spacing w:line="360" w:lineRule="auto"/>
      <w:jc w:val="center"/>
    </w:pPr>
    <w:rPr>
      <w:rFonts w:ascii="楷体_GB2312" w:eastAsia="楷体_GB2312" w:hAnsi="Times New Roman" w:cs="Times New Roman"/>
      <w:kern w:val="44"/>
      <w:sz w:val="44"/>
      <w:szCs w:val="36"/>
    </w:rPr>
  </w:style>
  <w:style w:type="character" w:customStyle="1" w:styleId="Char2">
    <w:name w:val="批注框文本 Char"/>
    <w:basedOn w:val="a0"/>
    <w:link w:val="a6"/>
    <w:uiPriority w:val="99"/>
    <w:semiHidden/>
    <w:qFormat/>
    <w:rsid w:val="006852D9"/>
    <w:rPr>
      <w:rFonts w:ascii="Times New Roman" w:eastAsia="宋体" w:hAnsi="Times New Roman" w:cs="Times New Roman"/>
      <w:sz w:val="18"/>
      <w:szCs w:val="18"/>
    </w:rPr>
  </w:style>
  <w:style w:type="character" w:customStyle="1" w:styleId="Char4">
    <w:name w:val="页眉 Char"/>
    <w:basedOn w:val="a0"/>
    <w:link w:val="a8"/>
    <w:qFormat/>
    <w:rsid w:val="006852D9"/>
    <w:rPr>
      <w:rFonts w:ascii="Times New Roman" w:eastAsia="宋体" w:hAnsi="Times New Roman" w:cs="Times New Roman"/>
      <w:sz w:val="18"/>
      <w:szCs w:val="18"/>
    </w:rPr>
  </w:style>
  <w:style w:type="character" w:customStyle="1" w:styleId="Char3">
    <w:name w:val="页脚 Char"/>
    <w:basedOn w:val="a0"/>
    <w:link w:val="a7"/>
    <w:qFormat/>
    <w:rsid w:val="006852D9"/>
    <w:rPr>
      <w:rFonts w:ascii="Times New Roman" w:eastAsia="宋体" w:hAnsi="Times New Roman" w:cs="Times New Roman"/>
      <w:sz w:val="18"/>
      <w:szCs w:val="18"/>
    </w:rPr>
  </w:style>
  <w:style w:type="character" w:customStyle="1" w:styleId="1Char">
    <w:name w:val="标题 1 Char"/>
    <w:basedOn w:val="a0"/>
    <w:link w:val="1"/>
    <w:qFormat/>
    <w:rsid w:val="006852D9"/>
    <w:rPr>
      <w:rFonts w:ascii="Times New Roman" w:eastAsia="宋体" w:hAnsi="Times New Roman" w:cs="Times New Roman"/>
      <w:b/>
      <w:bCs/>
      <w:kern w:val="44"/>
      <w:sz w:val="44"/>
      <w:szCs w:val="44"/>
    </w:rPr>
  </w:style>
  <w:style w:type="character" w:customStyle="1" w:styleId="Char0">
    <w:name w:val="批注文字 Char"/>
    <w:basedOn w:val="a0"/>
    <w:link w:val="a4"/>
    <w:uiPriority w:val="99"/>
    <w:semiHidden/>
    <w:qFormat/>
    <w:rsid w:val="006852D9"/>
    <w:rPr>
      <w:rFonts w:ascii="Times New Roman" w:eastAsia="宋体" w:hAnsi="Times New Roman" w:cs="Times New Roman"/>
      <w:szCs w:val="24"/>
    </w:rPr>
  </w:style>
  <w:style w:type="character" w:customStyle="1" w:styleId="Char">
    <w:name w:val="批注主题 Char"/>
    <w:basedOn w:val="Char0"/>
    <w:link w:val="a3"/>
    <w:semiHidden/>
    <w:qFormat/>
    <w:rsid w:val="006852D9"/>
    <w:rPr>
      <w:rFonts w:ascii="Times New Roman" w:eastAsia="宋体" w:hAnsi="Times New Roman" w:cs="Times New Roman"/>
      <w:b/>
      <w:bCs/>
      <w:szCs w:val="24"/>
    </w:rPr>
  </w:style>
  <w:style w:type="character" w:customStyle="1" w:styleId="Char1">
    <w:name w:val="文档结构图 Char"/>
    <w:basedOn w:val="a0"/>
    <w:link w:val="a5"/>
    <w:semiHidden/>
    <w:qFormat/>
    <w:rsid w:val="006852D9"/>
    <w:rPr>
      <w:rFonts w:ascii="Times New Roman" w:eastAsia="宋体" w:hAnsi="Times New Roman" w:cs="Times New Roman"/>
      <w:szCs w:val="24"/>
      <w:shd w:val="clear" w:color="auto" w:fill="000080"/>
    </w:rPr>
  </w:style>
  <w:style w:type="character" w:customStyle="1" w:styleId="HTMLChar">
    <w:name w:val="HTML 预设格式 Char"/>
    <w:basedOn w:val="a0"/>
    <w:link w:val="HTML"/>
    <w:rsid w:val="006852D9"/>
    <w:rPr>
      <w:rFonts w:ascii="宋体" w:eastAsia="宋体" w:hAnsi="宋体" w:cs="Times New Roman"/>
      <w:kern w:val="0"/>
      <w:sz w:val="24"/>
      <w:szCs w:val="24"/>
    </w:rPr>
  </w:style>
  <w:style w:type="character" w:customStyle="1" w:styleId="1Char0">
    <w:name w:val="标题1 Char"/>
    <w:link w:val="12"/>
    <w:qFormat/>
    <w:rsid w:val="006852D9"/>
    <w:rPr>
      <w:rFonts w:ascii="Times New Roman" w:eastAsia="黑体" w:hAnsi="Times New Roman"/>
      <w:b/>
      <w:sz w:val="36"/>
      <w:szCs w:val="36"/>
    </w:rPr>
  </w:style>
  <w:style w:type="paragraph" w:customStyle="1" w:styleId="12">
    <w:name w:val="标题1"/>
    <w:basedOn w:val="a"/>
    <w:link w:val="1Char0"/>
    <w:qFormat/>
    <w:rsid w:val="006852D9"/>
    <w:pPr>
      <w:widowControl/>
      <w:adjustRightInd w:val="0"/>
      <w:snapToGrid w:val="0"/>
      <w:spacing w:beforeLines="150" w:afterLines="100" w:line="440" w:lineRule="exact"/>
      <w:jc w:val="center"/>
      <w:outlineLvl w:val="0"/>
    </w:pPr>
    <w:rPr>
      <w:rFonts w:eastAsia="黑体" w:cstheme="minorBidi"/>
      <w:b/>
      <w:sz w:val="36"/>
      <w:szCs w:val="36"/>
    </w:rPr>
  </w:style>
  <w:style w:type="character" w:customStyle="1" w:styleId="3Char">
    <w:name w:val="标题 3 Char"/>
    <w:basedOn w:val="a0"/>
    <w:link w:val="3"/>
    <w:uiPriority w:val="9"/>
    <w:qFormat/>
    <w:rsid w:val="006852D9"/>
    <w:rPr>
      <w:rFonts w:ascii="Times New Roman" w:eastAsia="宋体" w:hAnsi="Times New Roman" w:cs="Times New Roman"/>
      <w:b/>
      <w:bCs/>
      <w:sz w:val="32"/>
      <w:szCs w:val="32"/>
    </w:rPr>
  </w:style>
  <w:style w:type="paragraph" w:customStyle="1" w:styleId="13">
    <w:name w:val="列出段落1"/>
    <w:basedOn w:val="a"/>
    <w:uiPriority w:val="99"/>
    <w:qFormat/>
    <w:rsid w:val="006852D9"/>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cnki.net/KCMS/detail/%20%20%20%20%20%20%20%20%20%20%20%20%20%20%20%20/kcms/detail/search.aspx?dbcode=CJFQ&amp;sfield=au&amp;skey=%e7%8e%9b%e8%82%89%e5%a8%83%c2%b7%e8%89%be%e6%8b%9c%e5%85%8b&amp;c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性别比</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男生</c:v>
                </c:pt>
                <c:pt idx="1">
                  <c:v>女生</c:v>
                </c:pt>
              </c:strCache>
            </c:strRef>
          </c:cat>
          <c:val>
            <c:numRef>
              <c:f>Sheet1!$B$2:$B$3</c:f>
              <c:numCache>
                <c:formatCode>0.00%</c:formatCode>
                <c:ptCount val="2"/>
                <c:pt idx="0">
                  <c:v>0.4850000000000001</c:v>
                </c:pt>
                <c:pt idx="1">
                  <c:v>0.51500000000000001</c:v>
                </c:pt>
              </c:numCache>
            </c:numRef>
          </c:val>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民族比例</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汉族</c:v>
                </c:pt>
                <c:pt idx="1">
                  <c:v>维吾尔族</c:v>
                </c:pt>
                <c:pt idx="2">
                  <c:v>哈萨克族</c:v>
                </c:pt>
                <c:pt idx="3">
                  <c:v>回族</c:v>
                </c:pt>
                <c:pt idx="4">
                  <c:v>其他少数民族</c:v>
                </c:pt>
              </c:strCache>
            </c:strRef>
          </c:cat>
          <c:val>
            <c:numRef>
              <c:f>Sheet1!$B$2:$B$6</c:f>
              <c:numCache>
                <c:formatCode>0.00%</c:formatCode>
                <c:ptCount val="5"/>
                <c:pt idx="0">
                  <c:v>0.51249999999999996</c:v>
                </c:pt>
                <c:pt idx="1">
                  <c:v>0.30410000000000004</c:v>
                </c:pt>
                <c:pt idx="2">
                  <c:v>0.10680000000000002</c:v>
                </c:pt>
                <c:pt idx="3">
                  <c:v>3.7800000000000007E-2</c:v>
                </c:pt>
                <c:pt idx="4">
                  <c:v>3.8800000000000001E-2</c:v>
                </c:pt>
              </c:numCache>
            </c:numRef>
          </c:val>
        </c:ser>
        <c:dLbls>
          <c:showLegendKey val="0"/>
          <c:showVal val="0"/>
          <c:showCatName val="0"/>
          <c:showSerName val="0"/>
          <c:showPercent val="0"/>
          <c:showBubbleSize val="0"/>
          <c:showLeaderLines val="1"/>
        </c:dLbls>
        <c:firstSliceAng val="0"/>
      </c:pieChart>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0CAA0F-7D6A-4D26-B367-3AF5211EA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67</Pages>
  <Words>4773</Words>
  <Characters>27212</Characters>
  <Application>Microsoft Office Word</Application>
  <DocSecurity>0</DocSecurity>
  <Lines>226</Lines>
  <Paragraphs>63</Paragraphs>
  <ScaleCrop>false</ScaleCrop>
  <Company/>
  <LinksUpToDate>false</LinksUpToDate>
  <CharactersWithSpaces>31922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jwk</dc:creator>
  <cp:lastModifiedBy>jwk</cp:lastModifiedBy>
  <cp:revision>124</cp:revision>
  <dcterms:created xsi:type="dcterms:W3CDTF">2016-10-19T05:33:00Z</dcterms:created>
  <dcterms:modified xsi:type="dcterms:W3CDTF">2016-12-14T08:39:00Z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