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widowControl/>
        <w:spacing w:before="0" w:beforeAutospacing="false" w:after="0" w:afterAutospacing="false" w:lineRule="auto" w:line="240"/>
        <w:jc w:val="left"/>
        <w:rPr>
          <w:rFonts w:ascii="宋体" w:eastAsia="宋体"/>
          <w:sz w:val="32"/>
          <w:szCs w:val="32"/>
        </w:rPr>
      </w:pPr>
    </w:p>
    <w:p>
      <w:pPr>
        <w:pStyle w:val="style0"/>
        <w:widowControl/>
        <w:spacing w:before="0" w:beforeAutospacing="false" w:after="0" w:afterAutospacing="false" w:lineRule="auto" w:line="240"/>
        <w:jc w:val="left"/>
        <w:rPr>
          <w:rFonts w:ascii="宋体" w:eastAsia="宋体"/>
          <w:sz w:val="44"/>
          <w:szCs w:val="44"/>
        </w:rPr>
      </w:pPr>
    </w:p>
    <w:p>
      <w:pPr>
        <w:pStyle w:val="style0"/>
        <w:widowControl/>
        <w:spacing w:before="0" w:beforeAutospacing="false" w:after="0" w:afterAutospacing="false" w:lineRule="auto" w:line="240"/>
        <w:jc w:val="left"/>
        <w:rPr>
          <w:rFonts w:ascii="宋体" w:eastAsia="宋体"/>
          <w:sz w:val="44"/>
          <w:szCs w:val="44"/>
        </w:rPr>
      </w:pPr>
    </w:p>
    <w:p>
      <w:pPr>
        <w:pStyle w:val="style0"/>
        <w:widowControl/>
        <w:spacing w:before="0" w:beforeAutospacing="false" w:after="0" w:afterAutospacing="false" w:lineRule="auto" w:line="240"/>
        <w:jc w:val="left"/>
        <w:rPr>
          <w:rFonts w:ascii="宋体" w:eastAsia="宋体"/>
          <w:sz w:val="44"/>
          <w:szCs w:val="44"/>
        </w:rPr>
      </w:pPr>
    </w:p>
    <w:p>
      <w:pPr>
        <w:pStyle w:val="style0"/>
        <w:widowControl/>
        <w:spacing w:before="0" w:beforeAutospacing="false" w:after="0" w:afterAutospacing="false" w:lineRule="auto" w:line="240"/>
        <w:jc w:val="center"/>
        <w:outlineLvl w:val="0"/>
        <w:rPr>
          <w:rFonts w:ascii="宋体" w:eastAsia="黑体"/>
          <w:sz w:val="44"/>
          <w:szCs w:val="44"/>
        </w:rPr>
      </w:pPr>
      <w:r>
        <w:rPr>
          <w:rFonts w:ascii="宋体" w:eastAsia="黑体"/>
          <w:b w:val="false"/>
          <w:sz w:val="44"/>
          <w:szCs w:val="44"/>
        </w:rPr>
        <w:t>新疆农业大学实习林场</w:t>
      </w:r>
    </w:p>
    <w:p>
      <w:pPr>
        <w:pStyle w:val="style0"/>
        <w:widowControl/>
        <w:spacing w:before="0" w:beforeAutospacing="false" w:after="0" w:afterAutospacing="false" w:lineRule="auto" w:line="240"/>
        <w:jc w:val="center"/>
        <w:outlineLvl w:val="0"/>
        <w:rPr>
          <w:rFonts w:ascii="黑体" w:eastAsia="黑体"/>
          <w:sz w:val="44"/>
          <w:szCs w:val="44"/>
        </w:rPr>
      </w:pPr>
      <w:r>
        <w:rPr>
          <w:rFonts w:ascii="黑体" w:eastAsia="黑体"/>
          <w:b w:val="false"/>
          <w:sz w:val="44"/>
          <w:szCs w:val="44"/>
        </w:rPr>
        <w:t>2024年度部门决算公开说明</w:t>
      </w:r>
    </w:p>
    <w:p>
      <w:pPr>
        <w:pStyle w:val="style0"/>
        <w:widowControl/>
        <w:rPr/>
      </w:pPr>
      <w:r>
        <w:rPr>
          <w:b w:val="false"/>
          <w:sz w:val="0"/>
          <w:szCs w:val="0"/>
        </w:rPr>
        <w:br w:type="page"/>
      </w:r>
    </w:p>
    <w:p>
      <w:pPr>
        <w:pStyle w:val="style0"/>
        <w:widowControl/>
        <w:spacing w:before="0" w:beforeAutospacing="false" w:after="0" w:afterAutospacing="false" w:lineRule="auto" w:line="240"/>
        <w:jc w:val="center"/>
        <w:rPr>
          <w:rFonts w:ascii="黑体" w:eastAsia="黑体"/>
          <w:sz w:val="32"/>
          <w:szCs w:val="32"/>
        </w:rPr>
      </w:pPr>
      <w:r>
        <w:rPr>
          <w:rFonts w:ascii="黑体" w:eastAsia="黑体"/>
          <w:b/>
          <w:sz w:val="32"/>
          <w:szCs w:val="32"/>
        </w:rPr>
        <w:t>目录</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sz w:val="32"/>
          <w:szCs w:val="32"/>
        </w:rPr>
        <w:t>第一部分单位概况</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一、主要职能</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二、机构设置及人员情况</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sz w:val="32"/>
          <w:szCs w:val="32"/>
        </w:rPr>
        <w:t>第二部分部门决算情况说明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一、收入支出决算总体情况说明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二、收入决算情况说明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三、支出决算情况说明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四、财政拨款收入支出决算总体情况说明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五、一般公共预算财政拨款支出决算情况说明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（一）一般公共预算财政拨款支出决算总体情况</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（二）一般公共预算财政拨款支出决算结构情况</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（三）一般公共预算财政拨款支出决算具体情况</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六、一般公共预算财政拨款基本支出决算情况说明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七、政府性基金预算财政拨款收入支出决算情况说明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八、国有资本经营预算财政拨款收入支出决算情况说明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九、财政拨款“三公”经费支出决算情况说明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十、其他重要事项的情况说明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（一）机关运行经费及公用经费支出情况</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（二）政府采购情况</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（三）国有资产占用情况说明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十一、预算绩效的情况说明</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十二、其他需说明的事项</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sz w:val="32"/>
          <w:szCs w:val="32"/>
        </w:rPr>
        <w:t>第三部分专业名词解释</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sz w:val="32"/>
          <w:szCs w:val="32"/>
        </w:rPr>
        <w:t>第四部分部门决算报表（见附表）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一、《收入支出决算总表》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二、《收入决算表》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三、《支出决算表》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四、《财政拨款收入支出决算总表》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五、《一般公共预算财政拨款支出决算表》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六、《一般公共预算财政拨款基本支出决算表》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七、《政府性基金预算财政拨款收入支出决算表》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八、《国有资本经营预算财政拨款收入支出决算表》</w:t>
      </w:r>
    </w:p>
    <w:p>
      <w:pPr>
        <w:pStyle w:val="style0"/>
        <w:widowControl/>
        <w:spacing w:before="0" w:beforeAutospacing="false" w:after="0" w:afterAutospacing="false" w:lineRule="auto" w:line="240"/>
        <w:jc w:val="left"/>
        <w:rPr>
          <w:rFonts w:ascii="仿宋_GB2312" w:eastAsia="仿宋_GB2312"/>
          <w:sz w:val="32"/>
          <w:szCs w:val="32"/>
        </w:rPr>
      </w:pPr>
      <w:r>
        <w:rPr>
          <w:rFonts w:ascii="仿宋_GB2312" w:eastAsia="仿宋_GB2312"/>
          <w:b w:val="false"/>
          <w:sz w:val="32"/>
          <w:szCs w:val="32"/>
        </w:rPr>
        <w:t>九、《财政拨款“三公”经费支出决算表》</w:t>
      </w:r>
    </w:p>
    <w:p>
      <w:pPr>
        <w:pStyle w:val="style0"/>
        <w:widowControl/>
        <w:rPr/>
      </w:pPr>
      <w:r>
        <w:rPr>
          <w:b w:val="false"/>
          <w:sz w:val="0"/>
          <w:szCs w:val="0"/>
        </w:rPr>
        <w:br w:type="page"/>
      </w:r>
    </w:p>
    <w:p>
      <w:pPr>
        <w:pStyle w:val="style0"/>
        <w:widowControl/>
        <w:spacing w:before="0" w:beforeAutospacing="false" w:after="0" w:afterAutospacing="false" w:lineRule="auto" w:line="240"/>
        <w:jc w:val="center"/>
        <w:outlineLvl w:val="0"/>
        <w:rPr>
          <w:rFonts w:ascii="黑体" w:eastAsia="黑体"/>
          <w:sz w:val="32"/>
          <w:szCs w:val="32"/>
        </w:rPr>
      </w:pPr>
      <w:r>
        <w:rPr>
          <w:rFonts w:ascii="黑体" w:eastAsia="黑体"/>
          <w:b w:val="false"/>
          <w:sz w:val="32"/>
          <w:szCs w:val="32"/>
        </w:rPr>
        <w:t>第一部分单位概况</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一、主要职能</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保护辖区森林资源，促进林业发展，具体承担林业生态建设和保护工作。是新疆农业大学教学、科研、实习实训基地之一。</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二、机构设置及人员情况</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新疆农业大学实习林场2024年度，实有人数11人，其中：在职人员9人，增加2人；离休人员0人，较上年无变化；退休人员2人，较上年无变化；</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新疆农业大学实习林场无下属预算单位，下设5个，分别是：场办公室、财务科、天保办、护林办、资源林政办。</w:t>
      </w:r>
    </w:p>
    <w:p>
      <w:pPr>
        <w:pStyle w:val="style0"/>
        <w:widowControl/>
        <w:rPr/>
      </w:pPr>
      <w:r>
        <w:rPr>
          <w:b w:val="false"/>
          <w:sz w:val="0"/>
          <w:szCs w:val="0"/>
        </w:rPr>
        <w:br w:type="page"/>
      </w:r>
    </w:p>
    <w:p>
      <w:pPr>
        <w:pStyle w:val="style0"/>
        <w:widowControl/>
        <w:spacing w:before="0" w:beforeAutospacing="false" w:after="0" w:afterAutospacing="false" w:lineRule="auto" w:line="240"/>
        <w:jc w:val="center"/>
        <w:outlineLvl w:val="0"/>
        <w:rPr>
          <w:rFonts w:ascii="黑体" w:eastAsia="黑体"/>
          <w:sz w:val="32"/>
          <w:szCs w:val="32"/>
        </w:rPr>
      </w:pPr>
      <w:r>
        <w:rPr>
          <w:rFonts w:ascii="黑体" w:eastAsia="黑体"/>
          <w:b w:val="false"/>
          <w:sz w:val="32"/>
          <w:szCs w:val="32"/>
        </w:rPr>
        <w:t>第二部分部门决算情况说明</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一、收入支出决算总体情况说明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2024年度收入总计428.58万元，其中：本年收入合计428.58万元，使用非财政拨款结余（含专用结余）0.00万元，年初结转和结余0.00万元。</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2024年度支出总计428.58万元，其中：本年支出合计428.58万元，结余分配0.00万元，年末结转和结余0.00万元。</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收入支出总体与上年相比，减少8.03万元，下降1.84%，主要原因是：2024年度减少了林业改革发展资金。</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二、收入决算情况说明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本年收入428.58万元，其中：财政拨款收入428.58万元,占100.00%；上级补助收入0.00万元,占0.00%；事业收入0.00万元，占0.00%；经营收入0.00万元,占0.00%；附属单位上缴收入0.00万元，占0.00%；其他收入0.00万元，占0.00%。</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三、支出决算情况说明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本年支出428.58万元，其中：基本支出125.88万元，占29.37%；项目支出302.70万元，占70.63%；上缴上级支出0.00万元，占0.00%；经营支出0.00万元，占0.00%；对附属单位补助支出0.00万元，占0.00%。</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四、财政拨款收入支出决算总体情况说明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2024年度财政拨款收入总计428.58万元，其中：年初财政拨款结转和结余0.00万元，本年财政拨款收入428.58万元。财政拨款支出总计428.58万元，其中：年末财政拨款结转和结余0.00万元，本年财政拨款支出428.58万元。</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财政拨款收入支出总体与上年相比，减少8.03万元，下降1.84%，主要原因是：2024 年度减少了林业改革发展资金。与年初预算相比，年初预算数418.26万元，决算数428.58万元，预决算差异率2.47%，主要原因是：</w:t>
      </w:r>
      <w:r>
        <w:rPr>
          <w:rFonts w:ascii="仿宋_GB2312" w:eastAsia="仿宋_GB2312" w:hint="eastAsia"/>
          <w:b w:val="false"/>
          <w:sz w:val="32"/>
          <w:szCs w:val="32"/>
          <w:lang w:val="en-US" w:eastAsia="zh-CN"/>
        </w:rPr>
        <w:t>年中追加人员工资调增部分资金，导致预决算差异</w:t>
      </w:r>
      <w:r>
        <w:rPr>
          <w:rFonts w:ascii="仿宋_GB2312" w:eastAsia="仿宋_GB2312"/>
          <w:b w:val="false"/>
          <w:sz w:val="32"/>
          <w:szCs w:val="32"/>
        </w:rPr>
        <w:t>。</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五、一般公共预算财政拨款支出决算情况说明</w:t>
      </w:r>
    </w:p>
    <w:p>
      <w:pPr>
        <w:pStyle w:val="style0"/>
        <w:widowControl/>
        <w:spacing w:before="0" w:beforeAutospacing="false" w:after="0" w:afterAutospacing="false" w:lineRule="auto" w:line="240"/>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一般公共预算财政拨款支出428.58万元，占本年支出合计的100.00%。与上年相比，减少8.03万元，下降1.84%，主要原因是：2024年度减少了林业改革发展资金。与年初预算相比，年初预算数418.26万元，决算数428.58万元，预决算差异率2.47%，主要原因是：</w:t>
      </w:r>
      <w:r>
        <w:rPr>
          <w:rFonts w:ascii="仿宋_GB2312" w:eastAsia="仿宋_GB2312" w:hint="eastAsia"/>
          <w:b w:val="false"/>
          <w:sz w:val="32"/>
          <w:szCs w:val="32"/>
          <w:lang w:val="en-US" w:eastAsia="zh-CN"/>
        </w:rPr>
        <w:t>年中追加人员工资调增部分资金，导致预决算差异</w:t>
      </w:r>
      <w:r>
        <w:rPr>
          <w:rFonts w:ascii="仿宋_GB2312" w:eastAsia="仿宋_GB2312"/>
          <w:b w:val="false"/>
          <w:sz w:val="32"/>
          <w:szCs w:val="32"/>
        </w:rPr>
        <w:t>。</w:t>
      </w:r>
    </w:p>
    <w:p>
      <w:pPr>
        <w:pStyle w:val="style0"/>
        <w:widowControl/>
        <w:spacing w:before="0" w:beforeAutospacing="false" w:after="0" w:afterAutospacing="false" w:lineRule="auto" w:line="240"/>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hint="eastAsia"/>
          <w:b w:val="false"/>
          <w:sz w:val="32"/>
          <w:szCs w:val="32"/>
          <w:lang w:val="en-US" w:eastAsia="zh-CN"/>
        </w:rPr>
        <w:t>1.</w:t>
      </w:r>
      <w:r>
        <w:rPr>
          <w:rFonts w:ascii="仿宋_GB2312" w:eastAsia="仿宋_GB2312"/>
          <w:b w:val="false"/>
          <w:sz w:val="32"/>
          <w:szCs w:val="32"/>
        </w:rPr>
        <w:t>教育支出（类）125.88万元，占29.37%。</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hint="eastAsia"/>
          <w:b w:val="false"/>
          <w:sz w:val="32"/>
          <w:szCs w:val="32"/>
          <w:lang w:val="en-US" w:eastAsia="zh-CN"/>
        </w:rPr>
        <w:t>2.</w:t>
      </w:r>
      <w:r>
        <w:rPr>
          <w:rFonts w:ascii="仿宋_GB2312" w:eastAsia="仿宋_GB2312"/>
          <w:b w:val="false"/>
          <w:sz w:val="32"/>
          <w:szCs w:val="32"/>
        </w:rPr>
        <w:t>节能环保支出（类）302.70万元，占70.63%。</w:t>
      </w:r>
    </w:p>
    <w:p>
      <w:pPr>
        <w:pStyle w:val="style0"/>
        <w:widowControl/>
        <w:spacing w:before="0" w:beforeAutospacing="false" w:after="0" w:afterAutospacing="false" w:lineRule="auto" w:line="240"/>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pStyle w:val="style0"/>
        <w:widowControl/>
        <w:numPr>
          <w:ilvl w:val="0"/>
          <w:numId w:val="1"/>
        </w:numPr>
        <w:spacing w:before="0" w:beforeAutospacing="false" w:after="0" w:afterAutospacing="false" w:lineRule="auto" w:line="240"/>
        <w:ind w:firstLine="640" w:firstLineChars="200"/>
        <w:rPr>
          <w:rFonts w:ascii="仿宋_GB2312" w:eastAsia="仿宋_GB2312"/>
          <w:sz w:val="32"/>
          <w:szCs w:val="32"/>
        </w:rPr>
      </w:pPr>
      <w:r>
        <w:rPr>
          <w:rFonts w:ascii="仿宋_GB2312" w:eastAsia="仿宋_GB2312"/>
          <w:b w:val="false"/>
          <w:sz w:val="32"/>
          <w:szCs w:val="32"/>
        </w:rPr>
        <w:t>教育支出（类）普通教育（款）高中教育（项）：支出决算数为0.00万元，比上年决算减少0.75万元，下</w:t>
      </w:r>
      <w:r>
        <w:rPr>
          <w:rFonts w:ascii="仿宋_GB2312" w:eastAsia="仿宋_GB2312" w:hint="eastAsia"/>
          <w:b w:val="false"/>
          <w:sz w:val="32"/>
          <w:szCs w:val="32"/>
          <w:lang w:val="en-US" w:eastAsia="zh-CN"/>
        </w:rPr>
        <w:t>降</w:t>
      </w:r>
      <w:r>
        <w:rPr>
          <w:rFonts w:ascii="仿宋_GB2312" w:eastAsia="仿宋_GB2312"/>
          <w:b w:val="false"/>
          <w:sz w:val="32"/>
          <w:szCs w:val="32"/>
        </w:rPr>
        <w:t>100.00%，主要原因是：</w:t>
      </w:r>
      <w:r>
        <w:rPr>
          <w:rFonts w:ascii="仿宋_GB2312" w:eastAsia="仿宋_GB2312" w:hint="eastAsia"/>
          <w:b w:val="false"/>
          <w:sz w:val="32"/>
          <w:szCs w:val="32"/>
          <w:lang w:val="en-US" w:eastAsia="zh-CN"/>
        </w:rPr>
        <w:t>本年</w:t>
      </w:r>
      <w:r>
        <w:rPr>
          <w:rFonts w:ascii="仿宋_GB2312" w:eastAsia="仿宋_GB2312" w:hint="default"/>
          <w:b w:val="false"/>
          <w:sz w:val="32"/>
          <w:szCs w:val="32"/>
          <w:lang w:val="en-US" w:eastAsia="zh-CN"/>
        </w:rPr>
        <w:t>无普通教育（款）高中教育（项）经费</w:t>
      </w:r>
      <w:r>
        <w:rPr>
          <w:rFonts w:ascii="仿宋_GB2312" w:eastAsia="仿宋_GB2312"/>
          <w:b w:val="false"/>
          <w:sz w:val="32"/>
          <w:szCs w:val="32"/>
        </w:rPr>
        <w:t>。</w:t>
      </w:r>
    </w:p>
    <w:p>
      <w:pPr>
        <w:pStyle w:val="style0"/>
        <w:widowControl/>
        <w:numPr>
          <w:ilvl w:val="0"/>
          <w:numId w:val="1"/>
        </w:numPr>
        <w:spacing w:before="0" w:beforeAutospacing="false" w:after="0" w:afterAutospacing="false" w:lineRule="auto" w:line="240"/>
        <w:ind w:firstLine="640" w:firstLineChars="200"/>
        <w:rPr>
          <w:rFonts w:ascii="仿宋_GB2312" w:eastAsia="仿宋_GB2312"/>
          <w:sz w:val="32"/>
          <w:szCs w:val="32"/>
        </w:rPr>
      </w:pPr>
      <w:r>
        <w:rPr>
          <w:rFonts w:ascii="仿宋_GB2312" w:eastAsia="仿宋_GB2312"/>
          <w:b w:val="false"/>
          <w:sz w:val="32"/>
          <w:szCs w:val="32"/>
        </w:rPr>
        <w:t>教育支出（类）普通教育（款）高等教育（项）：支出决算数为125.88万元，比上年决算增加27.42万元，增长27.85%，主要原因是：2024年林场</w:t>
      </w:r>
      <w:r>
        <w:rPr>
          <w:rFonts w:ascii="仿宋_GB2312" w:eastAsia="仿宋_GB2312" w:hint="eastAsia"/>
          <w:b w:val="false"/>
          <w:sz w:val="32"/>
          <w:szCs w:val="32"/>
          <w:lang w:val="en-US" w:eastAsia="zh-CN"/>
        </w:rPr>
        <w:t>新入职两名职工导致人员类经费</w:t>
      </w:r>
      <w:r>
        <w:rPr>
          <w:rFonts w:ascii="仿宋_GB2312" w:eastAsia="仿宋_GB2312"/>
          <w:b w:val="false"/>
          <w:sz w:val="32"/>
          <w:szCs w:val="32"/>
        </w:rPr>
        <w:t>增加。</w:t>
      </w:r>
    </w:p>
    <w:p>
      <w:pPr>
        <w:pStyle w:val="style0"/>
        <w:widowControl/>
        <w:numPr>
          <w:ilvl w:val="0"/>
          <w:numId w:val="1"/>
        </w:numPr>
        <w:spacing w:before="0" w:beforeAutospacing="false" w:after="0" w:afterAutospacing="false" w:lineRule="auto" w:line="240"/>
        <w:ind w:firstLine="640" w:firstLineChars="200"/>
        <w:rPr>
          <w:rFonts w:ascii="仿宋_GB2312" w:eastAsia="仿宋_GB2312"/>
          <w:sz w:val="32"/>
          <w:szCs w:val="32"/>
        </w:rPr>
      </w:pPr>
      <w:r>
        <w:rPr>
          <w:rFonts w:ascii="仿宋_GB2312" w:eastAsia="仿宋_GB2312"/>
          <w:b w:val="false"/>
          <w:sz w:val="32"/>
          <w:szCs w:val="32"/>
        </w:rPr>
        <w:t>节能环保支出（类）森林保护修复（款）森林管护（项）：支出决算数为302.70万元，比上年决算增加5.30万元，增长1.78%，主要原因是：2024年增加林业与草原保护生态修复资金。</w:t>
      </w:r>
    </w:p>
    <w:p>
      <w:pPr>
        <w:pStyle w:val="style0"/>
        <w:widowControl/>
        <w:numPr>
          <w:ilvl w:val="0"/>
          <w:numId w:val="1"/>
        </w:numPr>
        <w:spacing w:before="0" w:beforeAutospacing="false" w:after="0" w:afterAutospacing="false" w:lineRule="auto" w:line="240"/>
        <w:ind w:firstLine="640" w:firstLineChars="200"/>
        <w:rPr>
          <w:rFonts w:ascii="仿宋_GB2312" w:eastAsia="仿宋_GB2312"/>
          <w:sz w:val="32"/>
          <w:szCs w:val="32"/>
        </w:rPr>
      </w:pPr>
      <w:r>
        <w:rPr>
          <w:rFonts w:ascii="仿宋_GB2312" w:eastAsia="仿宋_GB2312"/>
          <w:b w:val="false"/>
          <w:sz w:val="32"/>
          <w:szCs w:val="32"/>
        </w:rPr>
        <w:t>农林水支出（类）林业和草原（款）森林资源管理（项）：支出决算数为0.00万元，比上年决算减少40.00万元，下降100.00%，主要原因是：2024年林场林业项目减少，相应的支出也减少。</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六、一般公共预算财政拨款基本支出决算情况说明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一般公共预算财政拨款基本支出125.88万元，其中：人员经费119.81万元，包括：基本工资、津贴补贴、奖金、绩效工资、机关事业单位基本养老保险缴费、职工基本医疗保险缴费、公务员医疗补助缴费、其他社会保障缴费、住房公积金、其他工资福利支出、退休费、奖励金和其他对个人和家庭的补助。</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公用经费6.06万元，包括：办公费、印刷费、邮电费、专用材料费、工会经费、福利费和其他交通费用。</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七、政府性基金预算财政拨款收入支出决算情况说明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本单位本年度无政府性基金预算财政拨款收入支出及结转和结余政府性基金预算财政拨款收入支出决算表为空表。</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八、国有资本经营预算财政拨款收入支出决算情况说明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本单位本年度无国有资本经营预算财政拨款收入、支出及结转和结余，国有资本经营预算财政拨款收入支出决算表为空表。</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九、财政拨款“三公”经费支出决算情况说明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2024年度财政拨款“三公”经费支出0.00万元，与上年相比无变化，主要原因是：我单位无财政拨款</w:t>
      </w:r>
      <w:r>
        <w:rPr>
          <w:rFonts w:ascii="仿宋_GB2312" w:eastAsia="仿宋_GB2312" w:hint="eastAsia"/>
          <w:b w:val="false"/>
          <w:sz w:val="32"/>
          <w:szCs w:val="32"/>
          <w:lang w:eastAsia="zh-CN"/>
        </w:rPr>
        <w:t>“</w:t>
      </w:r>
      <w:r>
        <w:rPr>
          <w:rFonts w:ascii="仿宋_GB2312" w:eastAsia="仿宋_GB2312"/>
          <w:b w:val="false"/>
          <w:sz w:val="32"/>
          <w:szCs w:val="32"/>
        </w:rPr>
        <w:t>三 公</w:t>
      </w:r>
      <w:r>
        <w:rPr>
          <w:rFonts w:ascii="仿宋_GB2312" w:eastAsia="仿宋_GB2312" w:hint="eastAsia"/>
          <w:b w:val="false"/>
          <w:sz w:val="32"/>
          <w:szCs w:val="32"/>
          <w:lang w:eastAsia="zh-CN"/>
        </w:rPr>
        <w:t>”</w:t>
      </w:r>
      <w:r>
        <w:rPr>
          <w:rFonts w:ascii="仿宋_GB2312" w:eastAsia="仿宋_GB2312"/>
          <w:b w:val="false"/>
          <w:sz w:val="32"/>
          <w:szCs w:val="32"/>
        </w:rPr>
        <w:t>经费支出。其中：因公出国（境）费支出0.00万元,占0.00%，与上年相比无变化，主要原因是：我单位无因公出国（境）费；公务用车购置及运行维护费支出0.00万元，占0.00%，与上年相比无变化，主要原因是：</w:t>
      </w:r>
      <w:r>
        <w:rPr>
          <w:rFonts w:ascii="仿宋_GB2312" w:eastAsia="仿宋_GB2312" w:hint="eastAsia"/>
          <w:b w:val="false"/>
          <w:sz w:val="32"/>
          <w:szCs w:val="32"/>
          <w:lang w:val="en-US" w:eastAsia="zh-CN"/>
        </w:rPr>
        <w:t>本</w:t>
      </w:r>
      <w:r>
        <w:rPr>
          <w:rFonts w:ascii="仿宋_GB2312" w:eastAsia="仿宋_GB2312"/>
          <w:b w:val="false"/>
          <w:sz w:val="32"/>
          <w:szCs w:val="32"/>
        </w:rPr>
        <w:t>单位无公务用车</w:t>
      </w:r>
      <w:r>
        <w:rPr>
          <w:rFonts w:ascii="仿宋_GB2312" w:eastAsia="仿宋_GB2312" w:hint="eastAsia"/>
          <w:b w:val="false"/>
          <w:sz w:val="32"/>
          <w:szCs w:val="32"/>
          <w:lang w:val="en-US" w:eastAsia="zh-CN"/>
        </w:rPr>
        <w:t>购置</w:t>
      </w:r>
      <w:r>
        <w:rPr>
          <w:rFonts w:ascii="仿宋_GB2312" w:eastAsia="仿宋_GB2312"/>
          <w:b w:val="false"/>
          <w:sz w:val="32"/>
          <w:szCs w:val="32"/>
        </w:rPr>
        <w:t>及运行维护费；公务接待费支出0.00万元，占0.00%，与上年相比无变化，主要原因是：我单位无公务接待。</w:t>
      </w:r>
    </w:p>
    <w:p>
      <w:pPr>
        <w:pStyle w:val="style0"/>
        <w:widowControl/>
        <w:spacing w:before="0" w:beforeAutospacing="false" w:after="0" w:afterAutospacing="false" w:lineRule="auto" w:line="240"/>
        <w:ind w:firstLine="640" w:firstLineChars="200"/>
        <w:jc w:val="left"/>
        <w:rPr>
          <w:rFonts w:ascii="仿宋_GB2312" w:eastAsia="仿宋_GB2312"/>
          <w:sz w:val="32"/>
          <w:szCs w:val="32"/>
        </w:rPr>
      </w:pPr>
      <w:r>
        <w:rPr>
          <w:rFonts w:ascii="仿宋_GB2312" w:eastAsia="仿宋_GB2312"/>
          <w:b w:val="false"/>
          <w:sz w:val="32"/>
          <w:szCs w:val="32"/>
        </w:rPr>
        <w:t>具体情况如下：</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因公出国（境）费支出0.00万元，开支内容包括我单位无 因公出国（境）费。单位全年安排的因公出国（境）团组0个，因公出国（境）0人次。</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中固定资产车辆0辆，与公务用车保有量差异原因是：</w:t>
      </w:r>
      <w:r>
        <w:rPr>
          <w:rFonts w:ascii="仿宋_GB2312" w:eastAsia="仿宋_GB2312" w:hint="eastAsia"/>
          <w:b w:val="false"/>
          <w:sz w:val="32"/>
          <w:szCs w:val="32"/>
          <w:lang w:val="en-US" w:eastAsia="zh-CN"/>
        </w:rPr>
        <w:t>本单位无固定资产车辆</w:t>
      </w:r>
      <w:r>
        <w:rPr>
          <w:rFonts w:ascii="仿宋_GB2312" w:eastAsia="仿宋_GB2312"/>
          <w:b w:val="false"/>
          <w:sz w:val="32"/>
          <w:szCs w:val="32"/>
        </w:rPr>
        <w:t>。</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公务接待费0.00万元，开支内容包括我单位无公务接待费。单位全年安排的国内公务接待0批次，0人次。</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与全年预算相比，财政拨款“三公”经费支出全年预算数0.00万元，决算数0.00万元，预决算差异率0.00%，主要原因是：</w:t>
      </w:r>
      <w:r>
        <w:rPr>
          <w:rFonts w:ascii="仿宋_GB2312" w:eastAsia="仿宋_GB2312" w:hint="eastAsia"/>
          <w:b w:val="false"/>
          <w:sz w:val="32"/>
          <w:szCs w:val="32"/>
          <w:lang w:val="en-US" w:eastAsia="zh-CN"/>
        </w:rPr>
        <w:t>本单位无财政拨款“三公”经费</w:t>
      </w:r>
      <w:r>
        <w:rPr>
          <w:rFonts w:ascii="仿宋_GB2312" w:eastAsia="仿宋_GB2312"/>
          <w:b w:val="false"/>
          <w:sz w:val="32"/>
          <w:szCs w:val="32"/>
        </w:rPr>
        <w:t>。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0.00万元，决算数0.00万元，预决算差异率0.00%，主要原因是：我单位无公务用车运行维护费。公务接待费全年预算数0.00万元，决算数0.00万元，预决算差异率0.00%，主要原因是：我单位无公务接待费。</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十、其他重要事项的情况说明</w:t>
      </w:r>
    </w:p>
    <w:p>
      <w:pPr>
        <w:pStyle w:val="style0"/>
        <w:widowControl/>
        <w:spacing w:before="0" w:beforeAutospacing="false" w:after="0" w:afterAutospacing="false" w:lineRule="auto" w:line="240"/>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w:t>
      </w:r>
      <w:r>
        <w:rPr>
          <w:rFonts w:ascii="仿宋_GB2312" w:eastAsia="仿宋_GB2312" w:hint="eastAsia"/>
          <w:b w:val="false"/>
          <w:sz w:val="32"/>
          <w:szCs w:val="32"/>
          <w:lang w:val="en-US" w:eastAsia="zh-CN"/>
        </w:rPr>
        <w:t>新疆农业大学实习林场单位（事业单位）</w:t>
      </w:r>
      <w:r>
        <w:rPr>
          <w:rFonts w:ascii="仿宋_GB2312" w:eastAsia="仿宋_GB2312"/>
          <w:b w:val="false"/>
          <w:sz w:val="32"/>
          <w:szCs w:val="32"/>
        </w:rPr>
        <w:t>公用经费支出6.06万元，比上年增加3.17万元，增长109.69%，主要原因是：2024年</w:t>
      </w:r>
      <w:r>
        <w:rPr>
          <w:rFonts w:ascii="仿宋_GB2312" w:eastAsia="仿宋_GB2312" w:hint="eastAsia"/>
          <w:b w:val="false"/>
          <w:sz w:val="32"/>
          <w:szCs w:val="32"/>
          <w:lang w:val="en-US" w:eastAsia="zh-CN"/>
        </w:rPr>
        <w:t>公用经费办公费、水费、取暖费</w:t>
      </w:r>
      <w:r>
        <w:rPr>
          <w:rFonts w:ascii="仿宋_GB2312" w:eastAsia="仿宋_GB2312"/>
          <w:b w:val="false"/>
          <w:sz w:val="32"/>
          <w:szCs w:val="32"/>
        </w:rPr>
        <w:t>增加。</w:t>
      </w:r>
    </w:p>
    <w:p>
      <w:pPr>
        <w:pStyle w:val="style0"/>
        <w:widowControl/>
        <w:spacing w:before="0" w:beforeAutospacing="false" w:after="0" w:afterAutospacing="false" w:lineRule="auto" w:line="240"/>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2024年度政府采购支出总额1.11万元，其中：政府采购货物支出1.11万元、政府采购工程支出0.00万元、政府采购服务支出0.00万元。</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授予中小企业合同金额1.11万元，占政府采购支出总额的100.00%，其中：授予小微企业合同金额1.11万元，占政府采购支出总额的100.00%。</w:t>
      </w:r>
    </w:p>
    <w:p>
      <w:pPr>
        <w:pStyle w:val="style0"/>
        <w:widowControl/>
        <w:spacing w:before="0" w:beforeAutospacing="false" w:after="0" w:afterAutospacing="false" w:lineRule="auto" w:line="240"/>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ascii="仿宋_GB2312" w:eastAsia="仿宋_GB2312" w:hint="eastAsia"/>
          <w:b w:val="false"/>
          <w:sz w:val="32"/>
          <w:szCs w:val="32"/>
          <w:lang w:val="en-US" w:eastAsia="zh-CN"/>
        </w:rPr>
        <w:t>本单位无其他用车</w:t>
      </w:r>
      <w:bookmarkStart w:id="0" w:name="_GoBack"/>
      <w:bookmarkEnd w:id="0"/>
      <w:r>
        <w:rPr>
          <w:rFonts w:ascii="仿宋_GB2312" w:eastAsia="仿宋_GB2312"/>
          <w:b w:val="false"/>
          <w:sz w:val="32"/>
          <w:szCs w:val="32"/>
        </w:rPr>
        <w:t>;单价100万元（含）以上设备（不含车辆）0台（套）。</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十一、预算绩效的情况说明</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根据预算绩效管理要求，本单位2024年度预算绩效评价项目1个，全年预算数302.7万元，全年执行数302.7万元。预算绩效管理取得的成效：一是预算绩效管理制度逐步建立，组织机构不断健全；二是 绩效目标管理日益加强。发现的问题及原因：一是预算资金未均 衡使用；二是预算执行阶段缺乏充分沟通。下一步改进措施：一 是资金应均衡使用；二是加强部门协作与沟通。具体附项目支出绩效自评表。</w:t>
      </w:r>
    </w:p>
    <w:p>
      <w:pPr>
        <w:pStyle w:val="style0"/>
        <w:widowControl/>
        <w:spacing w:before="0" w:beforeAutospacing="false" w:after="0" w:afterAutospacing="false" w:lineRule="auto" w:line="240"/>
        <w:ind w:firstLine="640" w:firstLineChars="200"/>
        <w:jc w:val="left"/>
        <w:outlineLvl w:val="1"/>
        <w:rPr>
          <w:rFonts w:ascii="黑体" w:eastAsia="黑体"/>
          <w:sz w:val="32"/>
          <w:szCs w:val="32"/>
        </w:rPr>
      </w:pPr>
      <w:r>
        <w:rPr>
          <w:rFonts w:ascii="黑体" w:eastAsia="黑体"/>
          <w:b w:val="false"/>
          <w:sz w:val="32"/>
          <w:szCs w:val="32"/>
        </w:rPr>
        <w:t>十二、其他需说明的事项</w:t>
      </w:r>
    </w:p>
    <w:p>
      <w:pPr>
        <w:pStyle w:val="style0"/>
        <w:widowControl/>
        <w:spacing w:before="0" w:beforeAutospacing="false" w:after="0" w:afterAutospacing="false" w:lineRule="auto" w:line="240"/>
        <w:ind w:firstLine="640" w:firstLineChars="200"/>
        <w:jc w:val="both"/>
        <w:rPr>
          <w:rFonts w:ascii="仿宋_GB2312" w:eastAsia="仿宋_GB2312"/>
          <w:sz w:val="32"/>
          <w:szCs w:val="32"/>
        </w:rPr>
      </w:pPr>
      <w:r>
        <w:rPr>
          <w:rFonts w:ascii="仿宋_GB2312" w:eastAsia="仿宋_GB2312"/>
          <w:b w:val="false"/>
          <w:sz w:val="32"/>
          <w:szCs w:val="32"/>
        </w:rPr>
        <w:t>本单位无其他需说明事项。</w:t>
      </w:r>
    </w:p>
    <w:p>
      <w:pPr>
        <w:pStyle w:val="style0"/>
        <w:widowControl/>
        <w:spacing w:before="0" w:beforeAutospacing="false" w:after="0" w:afterAutospacing="false" w:lineRule="auto" w:line="240"/>
        <w:ind w:firstLine="640" w:firstLineChars="200"/>
        <w:jc w:val="left"/>
        <w:rPr>
          <w:rFonts w:ascii="仿宋_GB2312" w:eastAsia="仿宋_GB2312"/>
          <w:sz w:val="32"/>
          <w:szCs w:val="32"/>
        </w:rPr>
      </w:pPr>
    </w:p>
    <w:p>
      <w:pPr>
        <w:pStyle w:val="style0"/>
        <w:widowControl/>
        <w:rPr/>
      </w:pPr>
      <w:r>
        <w:rPr>
          <w:b w:val="false"/>
          <w:sz w:val="0"/>
          <w:szCs w:val="0"/>
        </w:rPr>
        <w:br w:type="page"/>
      </w:r>
    </w:p>
    <w:p>
      <w:pPr>
        <w:pStyle w:val="style0"/>
        <w:widowControl/>
        <w:spacing w:before="0" w:beforeAutospacing="false" w:after="0" w:afterAutospacing="false" w:lineRule="auto" w:line="240"/>
        <w:jc w:val="center"/>
        <w:outlineLvl w:val="0"/>
        <w:rPr>
          <w:rFonts w:ascii="黑体" w:eastAsia="黑体"/>
          <w:sz w:val="32"/>
          <w:szCs w:val="32"/>
        </w:rPr>
      </w:pPr>
      <w:r>
        <w:rPr>
          <w:rFonts w:ascii="黑体" w:eastAsia="黑体"/>
          <w:b w:val="false"/>
          <w:sz w:val="32"/>
          <w:szCs w:val="32"/>
        </w:rPr>
        <w:t>第三部分专业名词解释</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false"/>
          <w:sz w:val="32"/>
          <w:szCs w:val="32"/>
        </w:rPr>
        <w:t>指同级财政当年拨付的资金。</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false"/>
          <w:sz w:val="32"/>
          <w:szCs w:val="32"/>
        </w:rPr>
        <w:t>指事业单位从主管部门和上级单位取得的非财政补助收入。</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false"/>
          <w:sz w:val="32"/>
          <w:szCs w:val="32"/>
        </w:rPr>
        <w:t>指事业单位开展专业业务活动及其辅助活动所取得的收入。</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false"/>
          <w:sz w:val="32"/>
          <w:szCs w:val="32"/>
        </w:rPr>
        <w:t>指事业单位在专业业务活动及其辅助活动之外开展非独立核算经营活动取得的收入。</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false"/>
          <w:sz w:val="32"/>
          <w:szCs w:val="32"/>
        </w:rPr>
        <w:t>指事业单位附属的独立核算单位按有关规定上缴的收入。</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false"/>
          <w:sz w:val="32"/>
          <w:szCs w:val="32"/>
        </w:rPr>
        <w:t>指除上述“财政拨款收入”、“事业收入”、“经营收入”、“附属单位上缴收入”等之外取得的收入。</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false"/>
          <w:sz w:val="32"/>
          <w:szCs w:val="32"/>
        </w:rPr>
        <w:t>指以前年度支出预算因客观条件变化未执行完毕、结转到本年度按有关规定继续使用的资金，既包括财政拨款结转和结余，也包括事业收入、经营收入、其他收入的结转和结余。</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false"/>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false"/>
          <w:sz w:val="32"/>
          <w:szCs w:val="32"/>
        </w:rPr>
        <w:t>指为保障机构正常运转、完成日常工作任务而发生的人员支出和公用支出。</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false"/>
          <w:sz w:val="32"/>
          <w:szCs w:val="32"/>
        </w:rPr>
        <w:t>指在基本支出之外为完成特定行政任务和事业发展目标所发生的支出。</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false"/>
          <w:sz w:val="32"/>
          <w:szCs w:val="32"/>
        </w:rPr>
        <w:t>指事业单位在专业业务活动及其辅助活动之外开展非独立核算经营活动发生的支出。</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false"/>
          <w:sz w:val="32"/>
          <w:szCs w:val="32"/>
        </w:rPr>
        <w:t>指事业单位发生的用非财政预算资金对附属单位的补助支出。</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false"/>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pStyle w:val="style0"/>
        <w:widowControl/>
        <w:spacing w:before="0" w:beforeAutospacing="false" w:after="0" w:afterAutospacing="false" w:lineRule="auto" w:line="240"/>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false"/>
          <w:sz w:val="32"/>
          <w:szCs w:val="32"/>
        </w:rPr>
        <w:t>行政单位和参照公务员法管理的事业单位财政拨款基本支出中的公用经费支出。</w:t>
      </w:r>
    </w:p>
    <w:p>
      <w:pPr>
        <w:pStyle w:val="style0"/>
        <w:widowControl/>
        <w:rPr/>
      </w:pPr>
      <w:r>
        <w:rPr>
          <w:b w:val="false"/>
          <w:sz w:val="0"/>
          <w:szCs w:val="0"/>
        </w:rPr>
        <w:br w:type="page"/>
      </w:r>
    </w:p>
    <w:p>
      <w:pPr>
        <w:pStyle w:val="style0"/>
        <w:widowControl/>
        <w:spacing w:before="0" w:beforeAutospacing="false" w:after="0" w:afterAutospacing="false" w:lineRule="auto" w:line="240"/>
        <w:jc w:val="center"/>
        <w:outlineLvl w:val="0"/>
        <w:rPr>
          <w:rFonts w:ascii="黑体" w:eastAsia="黑体"/>
          <w:sz w:val="32"/>
          <w:szCs w:val="32"/>
        </w:rPr>
      </w:pPr>
      <w:r>
        <w:rPr>
          <w:rFonts w:ascii="黑体" w:eastAsia="黑体"/>
          <w:b w:val="false"/>
          <w:sz w:val="32"/>
          <w:szCs w:val="32"/>
        </w:rPr>
        <w:t>第四部分部门决算报表（见附表）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一、《收入支出决算总表》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二、《收入决算表》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三、《支出决算表》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四、《财政拨款收入支出决算总表》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五、《一般公共预算财政拨款支出决算表》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六、《一般公共预算财政拨款基本支出决算表》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七、《政府性基金预算财政拨款收入支出决算表》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八、《国有资本经营预算财政拨款收入支出决算表》</w:t>
      </w:r>
    </w:p>
    <w:p>
      <w:pPr>
        <w:pStyle w:val="style0"/>
        <w:widowControl/>
        <w:spacing w:before="0" w:beforeAutospacing="false" w:after="0" w:afterAutospacing="false" w:lineRule="auto" w:line="240"/>
        <w:ind w:firstLine="640" w:firstLineChars="200"/>
        <w:jc w:val="left"/>
        <w:outlineLvl w:val="1"/>
        <w:rPr>
          <w:rFonts w:ascii="仿宋_GB2312" w:eastAsia="仿宋_GB2312"/>
          <w:sz w:val="32"/>
          <w:szCs w:val="32"/>
        </w:rPr>
      </w:pPr>
      <w:r>
        <w:rPr>
          <w:rFonts w:ascii="仿宋_GB2312" w:eastAsia="仿宋_GB2312"/>
          <w:b w:val="false"/>
          <w:sz w:val="32"/>
          <w:szCs w:val="32"/>
        </w:rPr>
        <w:t>九、《财政拨款“三公”经费支出决算表》</w:t>
      </w:r>
    </w:p>
    <w:sectPr>
      <w:pgSz w:w="12240" w:h="15840" w:orient="portrait"/>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86"/>
    <w:family w:val="swiss"/>
    <w:pitch w:val="default"/>
    <w:sig w:usb0="E4002EFF" w:usb1="C000247B" w:usb2="00000009" w:usb3="00000000" w:csb0="200001FF" w:csb1="00000000"/>
  </w:font>
  <w:font w:name="Cambria">
    <w:altName w:val="Cambria"/>
    <w:panose1 w:val="02040503050004030204"/>
    <w:charset w:val="00"/>
    <w:family w:val="auto"/>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53208E"/>
    <w:lvl w:ilvl="0">
      <w:start w:val="1"/>
      <w:numFmt w:val="decimal"/>
      <w:suff w:val="nothing"/>
      <w:lvlText w:val="%1."/>
      <w:lvlJc w:val="left"/>
      <w:pPr>
        <w:spacing w:before="0" w:beforeAutospacing="false" w:lineRule="auto" w:line="240"/>
        <w:ind w:firstLine="640" w:firstLineChars="200"/>
      </w:pPr>
    </w:lvl>
    <w:lvl w:ilvl="1">
      <w:start w:val="1"/>
      <w:numFmt w:val="decimal"/>
      <w:suff w:val="nothing"/>
      <w:lvlText w:val="%1.%2."/>
      <w:lvlJc w:val="left"/>
      <w:pPr>
        <w:spacing w:before="0" w:beforeAutospacing="false" w:lineRule="auto" w:line="240"/>
        <w:ind w:firstLine="640" w:firstLineChars="200"/>
      </w:pPr>
    </w:lvl>
    <w:lvl w:ilvl="2">
      <w:start w:val="1"/>
      <w:numFmt w:val="decimal"/>
      <w:suff w:val="nothing"/>
      <w:lvlText w:val="%1.%2.%3."/>
      <w:lvlJc w:val="left"/>
      <w:pPr>
        <w:ind w:left="0" w:firstLine="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rPr>
    </w:rPrDefault>
    <w:pPrDefault>
      <w:pPr/>
    </w:pPrDefault>
  </w:docDefaults>
  <w:style w:type="paragraph" w:default="1" w:styleId="style0">
    <w:name w:val="Normal"/>
    <w:next w:val="style0"/>
    <w:qFormat/>
    <w:uiPriority w:val="0"/>
    <w:pPr>
      <w:spacing w:after="200" w:lineRule="auto" w:line="276"/>
    </w:pPr>
    <w:rPr>
      <w:rFonts w:ascii="Calibri" w:cs="宋体" w:eastAsia="Calibri" w:hAnsi="Calibri"/>
      <w:sz w:val="22"/>
      <w:szCs w:val="22"/>
      <w:lang w:val="en-US" w:bidi="ar-SA" w:eastAsia="en-US"/>
    </w:rPr>
  </w:style>
  <w:style w:type="paragraph" w:styleId="style1">
    <w:name w:val="heading 1"/>
    <w:basedOn w:val="style0"/>
    <w:next w:val="style0"/>
    <w:link w:val="style4098"/>
    <w:qFormat/>
    <w:uiPriority w:val="9"/>
    <w:pPr>
      <w:keepNext/>
      <w:keepLines/>
      <w:spacing w:before="480"/>
      <w:outlineLvl w:val="0"/>
    </w:pPr>
    <w:rPr>
      <w:rFonts w:ascii="Cambria" w:cs="宋体" w:eastAsia="宋体" w:hAnsi="Cambria"/>
      <w:b/>
      <w:bCs/>
      <w:color w:val="376092"/>
      <w:sz w:val="28"/>
      <w:szCs w:val="28"/>
    </w:rPr>
  </w:style>
  <w:style w:type="paragraph" w:styleId="style2">
    <w:name w:val="heading 2"/>
    <w:basedOn w:val="style0"/>
    <w:next w:val="style0"/>
    <w:link w:val="style4099"/>
    <w:qFormat/>
    <w:uiPriority w:val="9"/>
    <w:pPr>
      <w:keepNext/>
      <w:keepLines/>
      <w:spacing w:before="200"/>
      <w:outlineLvl w:val="1"/>
    </w:pPr>
    <w:rPr>
      <w:rFonts w:ascii="Cambria" w:cs="宋体" w:eastAsia="宋体" w:hAnsi="Cambria"/>
      <w:b/>
      <w:bCs/>
      <w:color w:val="4f81bd"/>
      <w:sz w:val="26"/>
      <w:szCs w:val="26"/>
    </w:rPr>
  </w:style>
  <w:style w:type="paragraph" w:styleId="style3">
    <w:name w:val="heading 3"/>
    <w:basedOn w:val="style0"/>
    <w:next w:val="style0"/>
    <w:link w:val="style4100"/>
    <w:qFormat/>
    <w:uiPriority w:val="9"/>
    <w:pPr>
      <w:keepNext/>
      <w:keepLines/>
      <w:spacing w:before="200"/>
      <w:outlineLvl w:val="2"/>
    </w:pPr>
    <w:rPr>
      <w:rFonts w:ascii="Cambria" w:cs="宋体" w:eastAsia="宋体" w:hAnsi="Cambria"/>
      <w:b/>
      <w:bCs/>
      <w:color w:val="4f81bd"/>
    </w:rPr>
  </w:style>
  <w:style w:type="paragraph" w:styleId="style4">
    <w:name w:val="heading 4"/>
    <w:basedOn w:val="style0"/>
    <w:next w:val="style0"/>
    <w:link w:val="style4101"/>
    <w:qFormat/>
    <w:uiPriority w:val="9"/>
    <w:pPr>
      <w:keepNext/>
      <w:keepLines/>
      <w:spacing w:before="200"/>
      <w:outlineLvl w:val="3"/>
    </w:pPr>
    <w:rPr>
      <w:rFonts w:ascii="Cambria" w:cs="宋体" w:eastAsia="宋体" w:hAnsi="Cambria"/>
      <w:b/>
      <w:bCs/>
      <w:i/>
      <w:iCs/>
      <w:color w:val="4f81bd"/>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28">
    <w:name w:val="Normal Indent"/>
    <w:basedOn w:val="style0"/>
    <w:next w:val="style28"/>
    <w:qFormat/>
    <w:uiPriority w:val="99"/>
    <w:pPr>
      <w:ind w:left="720"/>
    </w:pPr>
    <w:rPr/>
  </w:style>
  <w:style w:type="paragraph" w:styleId="style34">
    <w:name w:val="caption"/>
    <w:basedOn w:val="style0"/>
    <w:next w:val="style0"/>
    <w:qFormat/>
    <w:uiPriority w:val="35"/>
    <w:pPr>
      <w:spacing w:lineRule="auto" w:line="240"/>
    </w:pPr>
    <w:rPr>
      <w:b/>
      <w:bCs/>
      <w:color w:val="4f81bd"/>
      <w:sz w:val="18"/>
      <w:szCs w:val="18"/>
    </w:rPr>
  </w:style>
  <w:style w:type="paragraph" w:styleId="style31">
    <w:name w:val="header"/>
    <w:basedOn w:val="style0"/>
    <w:next w:val="style31"/>
    <w:link w:val="style4097"/>
    <w:qFormat/>
    <w:uiPriority w:val="99"/>
    <w:pPr>
      <w:tabs>
        <w:tab w:val="center" w:leader="none" w:pos="4680"/>
        <w:tab w:val="right" w:leader="none" w:pos="9360"/>
      </w:tabs>
    </w:pPr>
    <w:rPr/>
  </w:style>
  <w:style w:type="paragraph" w:styleId="style74">
    <w:name w:val="Subtitle"/>
    <w:basedOn w:val="style0"/>
    <w:next w:val="style0"/>
    <w:link w:val="style4102"/>
    <w:qFormat/>
    <w:uiPriority w:val="11"/>
    <w:pPr>
      <w:ind w:left="86"/>
    </w:pPr>
    <w:rPr>
      <w:rFonts w:ascii="Cambria" w:cs="宋体" w:eastAsia="宋体" w:hAnsi="Cambria"/>
      <w:i/>
      <w:iCs/>
      <w:color w:val="4f81bd"/>
      <w:spacing w:val="15"/>
      <w:sz w:val="24"/>
      <w:szCs w:val="24"/>
    </w:rPr>
  </w:style>
  <w:style w:type="paragraph" w:styleId="style62">
    <w:name w:val="Title"/>
    <w:basedOn w:val="style0"/>
    <w:next w:val="style0"/>
    <w:link w:val="style4103"/>
    <w:qFormat/>
    <w:uiPriority w:val="10"/>
    <w:pPr>
      <w:pBdr>
        <w:bottom w:val="single" w:sz="8" w:space="4" w:color="4f81bd"/>
      </w:pBdr>
      <w:spacing w:after="300"/>
      <w:contextualSpacing/>
    </w:pPr>
    <w:rPr>
      <w:rFonts w:ascii="Cambria" w:cs="宋体" w:eastAsia="宋体" w:hAnsi="Cambria"/>
      <w:color w:val="17375e"/>
      <w:spacing w:val="5"/>
      <w:kern w:val="28"/>
      <w:sz w:val="52"/>
      <w:szCs w:val="52"/>
    </w:rPr>
  </w:style>
  <w:style w:type="table" w:styleId="style154">
    <w:name w:val="Table Grid"/>
    <w:basedOn w:val="style105"/>
    <w:next w:val="style154"/>
    <w:qFormat/>
    <w:uiPriority w:val="59"/>
    <w:pPr>
      <w:spacing w:after="0" w:lineRule="auto" w:line="240"/>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cPr>
  </w:style>
  <w:style w:type="character" w:styleId="style88">
    <w:name w:val="Emphasis"/>
    <w:basedOn w:val="style65"/>
    <w:next w:val="style88"/>
    <w:qFormat/>
    <w:uiPriority w:val="20"/>
    <w:rPr>
      <w:i/>
      <w:iCs/>
    </w:rPr>
  </w:style>
  <w:style w:type="character" w:styleId="style85">
    <w:name w:val="Hyperlink"/>
    <w:basedOn w:val="style65"/>
    <w:next w:val="style85"/>
    <w:qFormat/>
    <w:uiPriority w:val="99"/>
    <w:rPr>
      <w:color w:val="0000ff"/>
      <w:u w:val="single"/>
    </w:rPr>
  </w:style>
  <w:style w:type="character" w:customStyle="1" w:styleId="style4097">
    <w:name w:val="Header Char_362ebbd2-43b2-4c1e-95dd-95b659a97306"/>
    <w:basedOn w:val="style65"/>
    <w:next w:val="style4097"/>
    <w:link w:val="style31"/>
    <w:qFormat/>
    <w:uiPriority w:val="99"/>
  </w:style>
  <w:style w:type="character" w:customStyle="1" w:styleId="style4098">
    <w:name w:val="Heading 1 Char_1011696f-ebd3-401e-a161-d5e4292260ca"/>
    <w:basedOn w:val="style65"/>
    <w:next w:val="style4098"/>
    <w:link w:val="style1"/>
    <w:qFormat/>
    <w:uiPriority w:val="9"/>
    <w:rPr>
      <w:rFonts w:ascii="Cambria" w:cs="宋体" w:eastAsia="宋体" w:hAnsi="Cambria"/>
      <w:b/>
      <w:bCs/>
      <w:color w:val="376092"/>
      <w:sz w:val="28"/>
      <w:szCs w:val="28"/>
    </w:rPr>
  </w:style>
  <w:style w:type="character" w:customStyle="1" w:styleId="style4099">
    <w:name w:val="Heading 2 Char_f32d04a0-0cf5-49a7-b703-7a7fae537a87"/>
    <w:basedOn w:val="style65"/>
    <w:next w:val="style4099"/>
    <w:link w:val="style2"/>
    <w:qFormat/>
    <w:uiPriority w:val="9"/>
    <w:rPr>
      <w:rFonts w:ascii="Cambria" w:cs="宋体" w:eastAsia="宋体" w:hAnsi="Cambria"/>
      <w:b/>
      <w:bCs/>
      <w:color w:val="4f81bd"/>
      <w:sz w:val="26"/>
      <w:szCs w:val="26"/>
    </w:rPr>
  </w:style>
  <w:style w:type="character" w:customStyle="1" w:styleId="style4100">
    <w:name w:val="Heading 3 Char_5d85bdb3-8e8b-4312-96e8-fdac695cfa3e"/>
    <w:basedOn w:val="style65"/>
    <w:next w:val="style4100"/>
    <w:link w:val="style3"/>
    <w:qFormat/>
    <w:uiPriority w:val="9"/>
    <w:rPr>
      <w:rFonts w:ascii="Cambria" w:cs="宋体" w:eastAsia="宋体" w:hAnsi="Cambria"/>
      <w:b/>
      <w:bCs/>
      <w:color w:val="4f81bd"/>
    </w:rPr>
  </w:style>
  <w:style w:type="character" w:customStyle="1" w:styleId="style4101">
    <w:name w:val="Heading 4 Char_c35d7d5e-0f56-476d-98cb-24c131c9f3b4"/>
    <w:basedOn w:val="style65"/>
    <w:next w:val="style4101"/>
    <w:link w:val="style4"/>
    <w:qFormat/>
    <w:uiPriority w:val="9"/>
    <w:rPr>
      <w:rFonts w:ascii="Cambria" w:cs="宋体" w:eastAsia="宋体" w:hAnsi="Cambria"/>
      <w:b/>
      <w:bCs/>
      <w:i/>
      <w:iCs/>
      <w:color w:val="4f81bd"/>
    </w:rPr>
  </w:style>
  <w:style w:type="character" w:customStyle="1" w:styleId="style4102">
    <w:name w:val="Subtitle Char"/>
    <w:basedOn w:val="style65"/>
    <w:next w:val="style4102"/>
    <w:link w:val="style74"/>
    <w:qFormat/>
    <w:uiPriority w:val="11"/>
    <w:rPr>
      <w:rFonts w:ascii="Cambria" w:cs="宋体" w:eastAsia="宋体" w:hAnsi="Cambria"/>
      <w:i/>
      <w:iCs/>
      <w:color w:val="4f81bd"/>
      <w:spacing w:val="15"/>
      <w:sz w:val="24"/>
      <w:szCs w:val="24"/>
    </w:rPr>
  </w:style>
  <w:style w:type="character" w:customStyle="1" w:styleId="style4103">
    <w:name w:val="Title Char_1649646c-e3fb-40e7-82d8-ee9d61a56f28"/>
    <w:basedOn w:val="style65"/>
    <w:next w:val="style4103"/>
    <w:link w:val="style62"/>
    <w:qFormat/>
    <w:uiPriority w:val="10"/>
    <w:rPr>
      <w:rFonts w:ascii="Cambria" w:cs="宋体" w:eastAsia="宋体" w:hAnsi="Cambria"/>
      <w:color w:val="17375e"/>
      <w:spacing w:val="5"/>
      <w:kern w:val="28"/>
      <w:sz w:val="52"/>
      <w:szCs w:val="52"/>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4512</Words>
  <Pages>12</Pages>
  <Characters>5023</Characters>
  <Application>WPS Office</Application>
  <Paragraphs>126</Paragraphs>
  <ScaleCrop>false</ScaleCrop>
  <LinksUpToDate>false</LinksUpToDate>
  <CharactersWithSpaces>5029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2025-08-13T02:59:00Z</dcterms:created>
  <dc:creator>Administrator</dc:creator>
  <lastModifiedBy>BRA-AL00</lastModifiedBy>
  <dcterms:modified xsi:type="dcterms:W3CDTF">2025-09-02T12:06:42Z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dcd2c9fe6c264999b9869657994bc18a_23</vt:lpwstr>
  </property>
</Properties>
</file>