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新疆农业大学实习林场</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F405D9C">
      <w:r>
        <w:br w:type="page"/>
      </w:r>
    </w:p>
    <w:p w14:paraId="5D404575">
      <w:pPr>
        <w:spacing w:line="640" w:lineRule="exact"/>
        <w:jc w:val="center"/>
        <w:outlineLvl w:val="1"/>
      </w:pPr>
      <w:r>
        <w:rPr>
          <w:rFonts w:ascii="黑体" w:hAnsi="黑体" w:eastAsia="黑体"/>
          <w:sz w:val="32"/>
        </w:rPr>
        <w:t>第一部分 单位概况</w:t>
      </w:r>
    </w:p>
    <w:p w14:paraId="41108FAF">
      <w:pPr>
        <w:spacing w:line="640" w:lineRule="exact"/>
        <w:ind w:firstLine="640"/>
        <w:jc w:val="both"/>
        <w:outlineLvl w:val="2"/>
      </w:pPr>
      <w:r>
        <w:rPr>
          <w:rFonts w:ascii="黑体" w:hAnsi="黑体" w:eastAsia="黑体"/>
          <w:sz w:val="32"/>
        </w:rPr>
        <w:t>一、主要职能</w:t>
      </w:r>
    </w:p>
    <w:p w14:paraId="6D75A692">
      <w:pPr>
        <w:spacing w:line="580" w:lineRule="exact"/>
        <w:ind w:firstLine="640"/>
        <w:jc w:val="both"/>
      </w:pPr>
      <w:r>
        <w:rPr>
          <w:rFonts w:ascii="仿宋_GB2312" w:hAnsi="仿宋_GB2312" w:eastAsia="仿宋_GB2312"/>
          <w:sz w:val="32"/>
        </w:rPr>
        <w:t>保护辖区森林资源，促进林业发展，具体承担林业生态建设和保护工作，是新疆农业大学教学、科研、实习实训基地之一。</w:t>
      </w:r>
    </w:p>
    <w:p w14:paraId="4EA8D367">
      <w:pPr>
        <w:spacing w:line="640" w:lineRule="exact"/>
        <w:ind w:firstLine="640"/>
        <w:jc w:val="both"/>
        <w:outlineLvl w:val="2"/>
      </w:pPr>
      <w:r>
        <w:rPr>
          <w:rFonts w:ascii="黑体" w:hAnsi="黑体" w:eastAsia="黑体"/>
          <w:sz w:val="32"/>
        </w:rPr>
        <w:t>二、机构设置</w:t>
      </w:r>
    </w:p>
    <w:p w14:paraId="14CE6D7C">
      <w:pPr>
        <w:spacing w:line="580" w:lineRule="exact"/>
        <w:ind w:firstLine="640"/>
        <w:jc w:val="both"/>
      </w:pPr>
      <w:r>
        <w:rPr>
          <w:rFonts w:ascii="仿宋_GB2312" w:hAnsi="仿宋_GB2312" w:eastAsia="仿宋_GB2312"/>
          <w:sz w:val="32"/>
        </w:rPr>
        <w:t>新疆农业大学实习林场无下属预算单位。</w:t>
      </w:r>
    </w:p>
    <w:p w14:paraId="6874F0B9">
      <w:r>
        <w:br w:type="page"/>
      </w:r>
    </w:p>
    <w:p w14:paraId="18EB6D22">
      <w:pPr>
        <w:spacing w:line="240" w:lineRule="auto"/>
        <w:jc w:val="center"/>
        <w:outlineLvl w:val="1"/>
      </w:pPr>
      <w:r>
        <w:rPr>
          <w:rFonts w:ascii="黑体" w:hAnsi="黑体" w:eastAsia="黑体"/>
          <w:sz w:val="32"/>
        </w:rPr>
        <w:t>第二部分 部门决算情况说明</w:t>
      </w:r>
    </w:p>
    <w:p w14:paraId="1DC6C186">
      <w:pPr>
        <w:spacing w:line="640" w:lineRule="exact"/>
        <w:ind w:firstLine="640"/>
        <w:jc w:val="both"/>
        <w:outlineLvl w:val="2"/>
      </w:pPr>
      <w:r>
        <w:rPr>
          <w:rFonts w:ascii="黑体" w:hAnsi="黑体" w:eastAsia="黑体"/>
          <w:sz w:val="32"/>
        </w:rPr>
        <w:t>一、收入支出决算总体情况说明</w:t>
      </w:r>
    </w:p>
    <w:p w14:paraId="0C65660C">
      <w:pPr>
        <w:spacing w:line="580" w:lineRule="exact"/>
        <w:ind w:firstLine="640"/>
        <w:jc w:val="both"/>
      </w:pPr>
      <w:r>
        <w:rPr>
          <w:rFonts w:ascii="仿宋_GB2312" w:hAnsi="仿宋_GB2312" w:eastAsia="仿宋_GB2312"/>
          <w:b/>
          <w:sz w:val="32"/>
        </w:rPr>
        <w:t>2025年度收入总计630.13万元，</w:t>
      </w:r>
      <w:r>
        <w:rPr>
          <w:rFonts w:ascii="仿宋_GB2312" w:hAnsi="仿宋_GB2312" w:eastAsia="仿宋_GB2312"/>
          <w:b w:val="0"/>
          <w:sz w:val="32"/>
        </w:rPr>
        <w:t>其中：本年收入合计630.13万元，使用非财政拨款结余（含专用结余）0.00万元，年初结转和结余0.00万元。</w:t>
      </w:r>
    </w:p>
    <w:p w14:paraId="5DEDDA67">
      <w:pPr>
        <w:spacing w:line="580" w:lineRule="exact"/>
        <w:ind w:firstLine="640"/>
        <w:jc w:val="both"/>
      </w:pPr>
      <w:r>
        <w:rPr>
          <w:rFonts w:ascii="仿宋_GB2312" w:hAnsi="仿宋_GB2312" w:eastAsia="仿宋_GB2312"/>
          <w:b/>
          <w:sz w:val="32"/>
        </w:rPr>
        <w:t>2025年度支出总计630.13万元，</w:t>
      </w:r>
      <w:r>
        <w:rPr>
          <w:rFonts w:ascii="仿宋_GB2312" w:hAnsi="仿宋_GB2312" w:eastAsia="仿宋_GB2312"/>
          <w:b w:val="0"/>
          <w:sz w:val="32"/>
        </w:rPr>
        <w:t>其中：本年支出合计630.13万元，结余分配0.00万元，年末结转和结余0.00万元。</w:t>
      </w:r>
    </w:p>
    <w:p w14:paraId="1099B895">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增加201.55万元，增长47.03%，主要原因是：本年在职人员增加，在职人员工资调增、社保、公积金基数调增，人员经费增加；2025年增加自治区林草专项资金、秋季天山东部天然林小蠹虫应急防控项目。</w:t>
      </w:r>
    </w:p>
    <w:p w14:paraId="3D5DF129">
      <w:pPr>
        <w:spacing w:line="640" w:lineRule="exact"/>
        <w:ind w:firstLine="640"/>
        <w:jc w:val="both"/>
        <w:outlineLvl w:val="2"/>
      </w:pPr>
      <w:r>
        <w:rPr>
          <w:rFonts w:ascii="黑体" w:hAnsi="黑体" w:eastAsia="黑体"/>
          <w:sz w:val="32"/>
        </w:rPr>
        <w:t>二、收入决算情况说明</w:t>
      </w:r>
    </w:p>
    <w:p w14:paraId="17BBEFCD">
      <w:pPr>
        <w:spacing w:line="580" w:lineRule="exact"/>
        <w:ind w:firstLine="640"/>
        <w:jc w:val="both"/>
      </w:pPr>
      <w:r>
        <w:rPr>
          <w:rFonts w:ascii="仿宋_GB2312" w:hAnsi="仿宋_GB2312" w:eastAsia="仿宋_GB2312"/>
          <w:b/>
          <w:sz w:val="32"/>
        </w:rPr>
        <w:t>本年收入630.13万元，</w:t>
      </w:r>
      <w:r>
        <w:rPr>
          <w:rFonts w:ascii="仿宋_GB2312" w:hAnsi="仿宋_GB2312" w:eastAsia="仿宋_GB2312"/>
          <w:b w:val="0"/>
          <w:sz w:val="32"/>
        </w:rPr>
        <w:t>其中：财政拨款收入630.13万元，占100.00%；上级补助收入0.00万元，占0.00%；事业收入0.00万元，占0.00%；经营收入0.00万元，占0.00%；附属单位上缴收入0.00万元，占0.00%；其他收入0.00万元，占0.00%。</w:t>
      </w:r>
    </w:p>
    <w:p w14:paraId="17620D70">
      <w:pPr>
        <w:spacing w:line="640" w:lineRule="exact"/>
        <w:ind w:firstLine="640"/>
        <w:jc w:val="both"/>
        <w:outlineLvl w:val="2"/>
      </w:pPr>
      <w:r>
        <w:rPr>
          <w:rFonts w:ascii="黑体" w:hAnsi="黑体" w:eastAsia="黑体"/>
          <w:sz w:val="32"/>
        </w:rPr>
        <w:t>三、支出决算情况说明</w:t>
      </w:r>
    </w:p>
    <w:p w14:paraId="13FA3B0F">
      <w:pPr>
        <w:spacing w:line="580" w:lineRule="exact"/>
        <w:ind w:firstLine="640"/>
        <w:jc w:val="both"/>
      </w:pPr>
      <w:r>
        <w:rPr>
          <w:rFonts w:ascii="仿宋_GB2312" w:hAnsi="仿宋_GB2312" w:eastAsia="仿宋_GB2312"/>
          <w:b/>
          <w:sz w:val="32"/>
        </w:rPr>
        <w:t>本年支出630.13万元，</w:t>
      </w:r>
      <w:r>
        <w:rPr>
          <w:rFonts w:ascii="仿宋_GB2312" w:hAnsi="仿宋_GB2312" w:eastAsia="仿宋_GB2312"/>
          <w:b w:val="0"/>
          <w:sz w:val="32"/>
        </w:rPr>
        <w:t>其中：基本支出184.20万元，占29.23%；项目支出445.93万元，占70.77%；上缴上级支出0.00万元，占0.00%；经营支出0.00万元，占0.00%；对附属单位补助支出0.00万元，占0.00%。</w:t>
      </w:r>
    </w:p>
    <w:p w14:paraId="1B743BBD">
      <w:pPr>
        <w:spacing w:line="640" w:lineRule="exact"/>
        <w:ind w:firstLine="640"/>
        <w:jc w:val="both"/>
        <w:outlineLvl w:val="2"/>
      </w:pPr>
      <w:r>
        <w:rPr>
          <w:rFonts w:ascii="黑体" w:hAnsi="黑体" w:eastAsia="黑体"/>
          <w:sz w:val="32"/>
        </w:rPr>
        <w:t>四、财政拨款收入支出决算总体情况说明</w:t>
      </w:r>
    </w:p>
    <w:p w14:paraId="0728DD45">
      <w:pPr>
        <w:spacing w:line="580" w:lineRule="exact"/>
        <w:ind w:firstLine="640"/>
        <w:jc w:val="both"/>
      </w:pPr>
      <w:r>
        <w:rPr>
          <w:rFonts w:ascii="仿宋_GB2312" w:hAnsi="仿宋_GB2312" w:eastAsia="仿宋_GB2312"/>
          <w:b/>
          <w:sz w:val="32"/>
        </w:rPr>
        <w:t>2025年度财政拨款收入总计630.13万元，</w:t>
      </w:r>
      <w:r>
        <w:rPr>
          <w:rFonts w:ascii="仿宋_GB2312" w:hAnsi="仿宋_GB2312" w:eastAsia="仿宋_GB2312"/>
          <w:b w:val="0"/>
          <w:sz w:val="32"/>
        </w:rPr>
        <w:t>其中：年初财政拨款结转和结余0.00万元，本年财政拨款收入630.13万元。</w:t>
      </w:r>
      <w:r>
        <w:rPr>
          <w:rFonts w:ascii="仿宋_GB2312" w:hAnsi="仿宋_GB2312" w:eastAsia="仿宋_GB2312"/>
          <w:b/>
          <w:sz w:val="32"/>
        </w:rPr>
        <w:t>财政拨款支出总计630.13万元，</w:t>
      </w:r>
      <w:r>
        <w:rPr>
          <w:rFonts w:ascii="仿宋_GB2312" w:hAnsi="仿宋_GB2312" w:eastAsia="仿宋_GB2312"/>
          <w:b w:val="0"/>
          <w:sz w:val="32"/>
        </w:rPr>
        <w:t>其中：年末财政拨款结转和结余0.00万元，本年财政拨款支出630.13万元。</w:t>
      </w:r>
    </w:p>
    <w:p w14:paraId="20E5F26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增加201.55万元，增长47.03%，主要原因是：本年在职人员增加，在职人员工资调增、社保、公积金基数调增，人员经费增加；2025年增加自治区林草专项资金、秋季天山东部天然林小蠹虫应急防控项目。</w:t>
      </w:r>
      <w:r>
        <w:rPr>
          <w:rFonts w:ascii="仿宋_GB2312" w:hAnsi="仿宋_GB2312" w:eastAsia="仿宋_GB2312"/>
          <w:b/>
          <w:sz w:val="32"/>
        </w:rPr>
        <w:t>与年初预算相比，</w:t>
      </w:r>
      <w:r>
        <w:rPr>
          <w:rFonts w:ascii="仿宋_GB2312" w:hAnsi="仿宋_GB2312" w:eastAsia="仿宋_GB2312"/>
          <w:b w:val="0"/>
          <w:sz w:val="32"/>
        </w:rPr>
        <w:t>年初预算数452.66万元，决算数630.13万元，预决算差异率39.21%，主要原因是：年中追加自治区林草专项资金、秋季天山东部天然林小蠹虫应急防控项目，导致预决算存在差异。</w:t>
      </w:r>
    </w:p>
    <w:p w14:paraId="0C5070B4">
      <w:pPr>
        <w:spacing w:line="640" w:lineRule="exact"/>
        <w:ind w:firstLine="640"/>
        <w:jc w:val="both"/>
        <w:outlineLvl w:val="2"/>
      </w:pPr>
      <w:r>
        <w:rPr>
          <w:rFonts w:ascii="黑体" w:hAnsi="黑体" w:eastAsia="黑体"/>
          <w:sz w:val="32"/>
        </w:rPr>
        <w:t>五、一般公共预算财政拨款支出决算情况说明</w:t>
      </w:r>
    </w:p>
    <w:p w14:paraId="74F23950">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实习实训，林业生态建设等重点支出，体现在有关支出科目中。</w:t>
      </w:r>
    </w:p>
    <w:p w14:paraId="3E96BC5E">
      <w:pPr>
        <w:spacing w:line="580" w:lineRule="exact"/>
        <w:ind w:firstLine="640"/>
        <w:jc w:val="both"/>
      </w:pPr>
      <w:r>
        <w:rPr>
          <w:rFonts w:ascii="仿宋_GB2312" w:hAnsi="仿宋_GB2312" w:eastAsia="仿宋_GB2312"/>
          <w:b w:val="0"/>
          <w:sz w:val="32"/>
        </w:rPr>
        <w:t>按照支出功能分类，节能环保支出（类）森林保护修复（款）森林管护（项）的支出占本年财政拨款支出总额的比重最高，2025年度决算数为203.40万元，占比32.28%，主要用于中央林业草原生态保护恢复资金。</w:t>
      </w:r>
    </w:p>
    <w:p w14:paraId="2974DB3F">
      <w:pPr>
        <w:spacing w:line="640" w:lineRule="exact"/>
        <w:ind w:firstLine="640"/>
        <w:jc w:val="both"/>
        <w:outlineLvl w:val="3"/>
      </w:pPr>
      <w:r>
        <w:rPr>
          <w:rFonts w:ascii="楷体_GB2312" w:hAnsi="楷体_GB2312" w:eastAsia="楷体_GB2312"/>
          <w:b/>
          <w:sz w:val="32"/>
        </w:rPr>
        <w:t>（一）一般公共预算财政拨款支出决算总体情况</w:t>
      </w:r>
    </w:p>
    <w:p w14:paraId="2DCD5FB0">
      <w:pPr>
        <w:spacing w:line="580" w:lineRule="exact"/>
        <w:ind w:firstLine="640"/>
        <w:jc w:val="both"/>
      </w:pPr>
      <w:r>
        <w:rPr>
          <w:rFonts w:ascii="仿宋_GB2312" w:hAnsi="仿宋_GB2312" w:eastAsia="仿宋_GB2312"/>
          <w:b/>
          <w:sz w:val="32"/>
        </w:rPr>
        <w:t>2025年度一般公共预算财政拨款支出630.13万元，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增加201.55万元，增长47.03%，主要原因是：本年在职人员增加，在职人员工资调增、社保、公积金基数调增，人员经费增加；2025年增加自治区林草专项资金、秋季天山东部天然林小蠹虫应急防控项目。</w:t>
      </w:r>
      <w:r>
        <w:rPr>
          <w:rFonts w:ascii="仿宋_GB2312" w:hAnsi="仿宋_GB2312" w:eastAsia="仿宋_GB2312"/>
          <w:b/>
          <w:sz w:val="32"/>
        </w:rPr>
        <w:t>与年初预算相比，</w:t>
      </w:r>
      <w:r>
        <w:rPr>
          <w:rFonts w:ascii="仿宋_GB2312" w:hAnsi="仿宋_GB2312" w:eastAsia="仿宋_GB2312"/>
          <w:b w:val="0"/>
          <w:sz w:val="32"/>
        </w:rPr>
        <w:t>年初预算数452.66万元，决算数630.13万元，预决算差异率39.21%，主要原因是：年中追加自治区林草专项资金、秋季天山东部天然林小蠹虫应急防控项目，导致预决算存在差异。</w:t>
      </w:r>
    </w:p>
    <w:p w14:paraId="320CB514">
      <w:pPr>
        <w:spacing w:line="640" w:lineRule="exact"/>
        <w:ind w:firstLine="640"/>
        <w:jc w:val="both"/>
        <w:outlineLvl w:val="3"/>
      </w:pPr>
      <w:r>
        <w:rPr>
          <w:rFonts w:ascii="楷体_GB2312" w:hAnsi="楷体_GB2312" w:eastAsia="楷体_GB2312"/>
          <w:b/>
          <w:sz w:val="32"/>
        </w:rPr>
        <w:t>（二）一般公共预算财政拨款支出决算结构情况</w:t>
      </w:r>
    </w:p>
    <w:p w14:paraId="4E4B4642">
      <w:pPr>
        <w:spacing w:line="580" w:lineRule="exact"/>
        <w:ind w:firstLine="640"/>
        <w:jc w:val="both"/>
      </w:pPr>
      <w:r>
        <w:rPr>
          <w:rFonts w:ascii="仿宋_GB2312" w:hAnsi="仿宋_GB2312" w:eastAsia="仿宋_GB2312"/>
          <w:b w:val="0"/>
          <w:sz w:val="32"/>
        </w:rPr>
        <w:t>1.教育支出（类）184.20万元，占29.23%。</w:t>
      </w:r>
    </w:p>
    <w:p w14:paraId="4DE9773E">
      <w:pPr>
        <w:spacing w:line="580" w:lineRule="exact"/>
        <w:ind w:firstLine="640"/>
        <w:jc w:val="both"/>
      </w:pPr>
      <w:r>
        <w:rPr>
          <w:rFonts w:ascii="仿宋_GB2312" w:hAnsi="仿宋_GB2312" w:eastAsia="仿宋_GB2312"/>
          <w:b w:val="0"/>
          <w:sz w:val="32"/>
        </w:rPr>
        <w:t>2.节能环保支出（类）203.40万元，占32.28%。</w:t>
      </w:r>
    </w:p>
    <w:p w14:paraId="496D1DE9">
      <w:pPr>
        <w:spacing w:line="580" w:lineRule="exact"/>
        <w:ind w:firstLine="640"/>
        <w:jc w:val="both"/>
      </w:pPr>
      <w:r>
        <w:rPr>
          <w:rFonts w:ascii="仿宋_GB2312" w:hAnsi="仿宋_GB2312" w:eastAsia="仿宋_GB2312"/>
          <w:b w:val="0"/>
          <w:sz w:val="32"/>
        </w:rPr>
        <w:t>3.农林水支出（类）242.53万元，占38.49%。</w:t>
      </w:r>
    </w:p>
    <w:p w14:paraId="0E21567D">
      <w:pPr>
        <w:spacing w:line="640" w:lineRule="exact"/>
        <w:ind w:firstLine="640"/>
        <w:jc w:val="both"/>
        <w:outlineLvl w:val="3"/>
      </w:pPr>
      <w:r>
        <w:rPr>
          <w:rFonts w:ascii="楷体_GB2312" w:hAnsi="楷体_GB2312" w:eastAsia="楷体_GB2312"/>
          <w:b/>
          <w:sz w:val="32"/>
        </w:rPr>
        <w:t>（三）一般公共预算财政拨款支出决算具体情况</w:t>
      </w:r>
    </w:p>
    <w:p w14:paraId="2FD47AFC">
      <w:pPr>
        <w:spacing w:line="580" w:lineRule="exact"/>
        <w:ind w:firstLine="640"/>
        <w:jc w:val="both"/>
      </w:pPr>
      <w:r>
        <w:rPr>
          <w:rFonts w:ascii="仿宋_GB2312" w:hAnsi="仿宋_GB2312" w:eastAsia="仿宋_GB2312"/>
          <w:b w:val="0"/>
          <w:sz w:val="32"/>
        </w:rPr>
        <w:t>1.教育支出（类）普通教育（款）高等教育（项）：支出决算数为184.20万元，比上年决算增加58.32万元，增长46.33%，主要原因是：本年在职人员增加，在职人员工资调增、社保、公积金基数调增，人员经费增加。</w:t>
      </w:r>
    </w:p>
    <w:p w14:paraId="64A24B70">
      <w:pPr>
        <w:spacing w:line="580" w:lineRule="exact"/>
        <w:ind w:firstLine="640"/>
        <w:jc w:val="both"/>
      </w:pPr>
      <w:r>
        <w:rPr>
          <w:rFonts w:ascii="仿宋_GB2312" w:hAnsi="仿宋_GB2312" w:eastAsia="仿宋_GB2312"/>
          <w:b w:val="0"/>
          <w:sz w:val="32"/>
        </w:rPr>
        <w:t>2.节能环保支出（类）森林保护修复（款）森林管护（项）：支出决算数为203.40万元，比上年决算减少99.30万元，下降32.80%，主要原因是：2025年中央林业草原生态恢复资金减少。</w:t>
      </w:r>
    </w:p>
    <w:p w14:paraId="289D5197">
      <w:pPr>
        <w:spacing w:line="580" w:lineRule="exact"/>
        <w:ind w:firstLine="640"/>
        <w:jc w:val="both"/>
      </w:pPr>
      <w:r>
        <w:rPr>
          <w:rFonts w:ascii="仿宋_GB2312" w:hAnsi="仿宋_GB2312" w:eastAsia="仿宋_GB2312"/>
          <w:b w:val="0"/>
          <w:sz w:val="32"/>
        </w:rPr>
        <w:t>3.农林水支出（类）林业和草原（款）产业化管理（项）：支出决算数为160.03万元，比上年决算增加160.03万元，增长100.00%，主要原因是：2025年增加自治区林草专项资金。</w:t>
      </w:r>
    </w:p>
    <w:p w14:paraId="7E97AA17">
      <w:pPr>
        <w:spacing w:line="580" w:lineRule="exact"/>
        <w:ind w:firstLine="640"/>
        <w:jc w:val="both"/>
      </w:pPr>
      <w:r>
        <w:rPr>
          <w:rFonts w:ascii="仿宋_GB2312" w:hAnsi="仿宋_GB2312" w:eastAsia="仿宋_GB2312"/>
          <w:b w:val="0"/>
          <w:sz w:val="32"/>
        </w:rPr>
        <w:t>4.农林水支出（类）林业和草原（款）林业草原防灾减灾（项）：支出决算数为82.50万元，比上年决算增加82.50万元，增长100.00%，主要原因是：2025年增加秋季天山东部天然林小蠹虫应急防控项目。</w:t>
      </w:r>
    </w:p>
    <w:p w14:paraId="7811995C">
      <w:pPr>
        <w:spacing w:line="640" w:lineRule="exact"/>
        <w:ind w:firstLine="640"/>
        <w:jc w:val="both"/>
        <w:outlineLvl w:val="2"/>
      </w:pPr>
      <w:r>
        <w:rPr>
          <w:rFonts w:ascii="黑体" w:hAnsi="黑体" w:eastAsia="黑体"/>
          <w:sz w:val="32"/>
        </w:rPr>
        <w:t>六、一般公共预算财政拨款基本支出决算情况说明</w:t>
      </w:r>
    </w:p>
    <w:p w14:paraId="137FABA2">
      <w:pPr>
        <w:spacing w:line="580" w:lineRule="exact"/>
        <w:ind w:firstLine="640"/>
        <w:jc w:val="both"/>
      </w:pPr>
      <w:r>
        <w:rPr>
          <w:rFonts w:ascii="仿宋_GB2312" w:hAnsi="仿宋_GB2312" w:eastAsia="仿宋_GB2312"/>
          <w:b w:val="0"/>
          <w:sz w:val="32"/>
        </w:rPr>
        <w:t>2025年度一般公共预算财政拨款基本支出184.20万元，其中：</w:t>
      </w:r>
      <w:r>
        <w:rPr>
          <w:rFonts w:ascii="仿宋_GB2312" w:hAnsi="仿宋_GB2312" w:eastAsia="仿宋_GB2312"/>
          <w:b/>
          <w:sz w:val="32"/>
        </w:rPr>
        <w:t>人员经费176.69万元，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14:paraId="378F455B">
      <w:pPr>
        <w:spacing w:line="580" w:lineRule="exact"/>
        <w:ind w:firstLine="640"/>
        <w:jc w:val="both"/>
      </w:pPr>
      <w:r>
        <w:rPr>
          <w:rFonts w:ascii="仿宋_GB2312" w:hAnsi="仿宋_GB2312" w:eastAsia="仿宋_GB2312"/>
          <w:b/>
          <w:sz w:val="32"/>
        </w:rPr>
        <w:t>公用经费7.51万元，</w:t>
      </w:r>
      <w:r>
        <w:rPr>
          <w:rFonts w:ascii="仿宋_GB2312" w:hAnsi="仿宋_GB2312" w:eastAsia="仿宋_GB2312"/>
          <w:b w:val="0"/>
          <w:sz w:val="32"/>
        </w:rPr>
        <w:t>包括：办公费、印刷费、邮电费、专用材料费、工会经费、其他交通费用。</w:t>
      </w:r>
    </w:p>
    <w:p w14:paraId="523EF1B2">
      <w:pPr>
        <w:spacing w:line="640" w:lineRule="exact"/>
        <w:ind w:firstLine="640"/>
        <w:jc w:val="both"/>
        <w:outlineLvl w:val="2"/>
      </w:pPr>
      <w:r>
        <w:rPr>
          <w:rFonts w:ascii="黑体" w:hAnsi="黑体" w:eastAsia="黑体"/>
          <w:sz w:val="32"/>
        </w:rPr>
        <w:t>七、政府性基金预算财政拨款收入支出决算情况说明</w:t>
      </w:r>
    </w:p>
    <w:p w14:paraId="2EF2D33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5D37799">
      <w:pPr>
        <w:spacing w:line="640" w:lineRule="exact"/>
        <w:ind w:firstLine="640"/>
        <w:jc w:val="both"/>
        <w:outlineLvl w:val="2"/>
      </w:pPr>
      <w:r>
        <w:rPr>
          <w:rFonts w:ascii="黑体" w:hAnsi="黑体" w:eastAsia="黑体"/>
          <w:sz w:val="32"/>
        </w:rPr>
        <w:t>八、国有资本经营预算财政拨款收入支出决算情况说明</w:t>
      </w:r>
    </w:p>
    <w:p w14:paraId="5938077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06E96D6">
      <w:pPr>
        <w:spacing w:line="640" w:lineRule="exact"/>
        <w:ind w:firstLine="640"/>
        <w:jc w:val="both"/>
        <w:outlineLvl w:val="2"/>
      </w:pPr>
      <w:r>
        <w:rPr>
          <w:rFonts w:ascii="黑体" w:hAnsi="黑体" w:eastAsia="黑体"/>
          <w:sz w:val="32"/>
        </w:rPr>
        <w:t>九、财政拨款“三公”经费支出决算情况说明</w:t>
      </w:r>
    </w:p>
    <w:p w14:paraId="4A611781">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160E805C">
      <w:pPr>
        <w:spacing w:line="580" w:lineRule="exact"/>
        <w:ind w:firstLine="640"/>
        <w:jc w:val="both"/>
      </w:pPr>
      <w:r>
        <w:rPr>
          <w:rFonts w:ascii="仿宋_GB2312" w:hAnsi="仿宋_GB2312" w:eastAsia="仿宋_GB2312"/>
          <w:b/>
          <w:sz w:val="32"/>
        </w:rPr>
        <w:t>具体情况如下：</w:t>
      </w:r>
    </w:p>
    <w:p w14:paraId="0391BE8A">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7B881C0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4BE7562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FEEFBE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F684B4D">
      <w:pPr>
        <w:spacing w:line="640" w:lineRule="exact"/>
        <w:ind w:firstLine="640"/>
        <w:jc w:val="both"/>
        <w:outlineLvl w:val="2"/>
      </w:pPr>
      <w:r>
        <w:rPr>
          <w:rFonts w:ascii="黑体" w:hAnsi="黑体" w:eastAsia="黑体"/>
          <w:sz w:val="32"/>
        </w:rPr>
        <w:t>十、其他重要事项的情况说明</w:t>
      </w:r>
    </w:p>
    <w:p w14:paraId="4BFF26E2">
      <w:pPr>
        <w:spacing w:line="640" w:lineRule="exact"/>
        <w:ind w:firstLine="640"/>
        <w:jc w:val="both"/>
        <w:outlineLvl w:val="3"/>
      </w:pPr>
      <w:r>
        <w:rPr>
          <w:rFonts w:ascii="楷体_GB2312" w:hAnsi="楷体_GB2312" w:eastAsia="楷体_GB2312"/>
          <w:b/>
          <w:sz w:val="32"/>
        </w:rPr>
        <w:t>（一）机关运行经费及公用经费支出情况</w:t>
      </w:r>
    </w:p>
    <w:p w14:paraId="6963E42D">
      <w:pPr>
        <w:spacing w:line="580" w:lineRule="exact"/>
        <w:ind w:firstLine="640"/>
        <w:jc w:val="both"/>
      </w:pPr>
      <w:r>
        <w:rPr>
          <w:rFonts w:ascii="仿宋_GB2312" w:hAnsi="仿宋_GB2312" w:eastAsia="仿宋_GB2312"/>
          <w:b w:val="0"/>
          <w:sz w:val="32"/>
        </w:rPr>
        <w:t>2025年度新疆农业大学实习林场（事业单位）公用经费支出7.51万元，比上年增加1.45万元，增长23.93%，主要原因是：本年增加办公经费、印刷费、专用材料费等支出，导致公用经费增加。</w:t>
      </w:r>
    </w:p>
    <w:p w14:paraId="6380C7E4">
      <w:pPr>
        <w:spacing w:line="640" w:lineRule="exact"/>
        <w:ind w:firstLine="640"/>
        <w:jc w:val="both"/>
        <w:outlineLvl w:val="3"/>
      </w:pPr>
      <w:r>
        <w:rPr>
          <w:rFonts w:ascii="楷体_GB2312" w:hAnsi="楷体_GB2312" w:eastAsia="楷体_GB2312"/>
          <w:b/>
          <w:sz w:val="32"/>
        </w:rPr>
        <w:t>（二）政府采购情况</w:t>
      </w:r>
    </w:p>
    <w:p w14:paraId="4900C978">
      <w:pPr>
        <w:spacing w:line="580" w:lineRule="exact"/>
        <w:ind w:firstLine="640"/>
        <w:jc w:val="both"/>
      </w:pPr>
      <w:r>
        <w:rPr>
          <w:rFonts w:ascii="仿宋_GB2312" w:hAnsi="仿宋_GB2312" w:eastAsia="仿宋_GB2312"/>
          <w:b w:val="0"/>
          <w:sz w:val="32"/>
        </w:rPr>
        <w:t>2025年度政府采购支出总额0.30万元，其中：政府采购货物支出0.30万元、政府采购工程支出0.00万元、政府采购服务支出0.00万元。</w:t>
      </w:r>
    </w:p>
    <w:p w14:paraId="4EB53EFA">
      <w:pPr>
        <w:spacing w:line="580" w:lineRule="exact"/>
        <w:ind w:firstLine="640"/>
        <w:jc w:val="both"/>
      </w:pPr>
      <w:r>
        <w:rPr>
          <w:rFonts w:ascii="仿宋_GB2312" w:hAnsi="仿宋_GB2312" w:eastAsia="仿宋_GB2312"/>
          <w:b w:val="0"/>
          <w:sz w:val="32"/>
        </w:rPr>
        <w:t>授予中小企业合同金额0.30万元，占政府采购支出总额的100.00%，其中：授予小微企业合同金额0.30万元，占政府采购支出总额的100.00%。</w:t>
      </w:r>
    </w:p>
    <w:p w14:paraId="3CEB43E4">
      <w:pPr>
        <w:spacing w:line="640" w:lineRule="exact"/>
        <w:ind w:firstLine="640"/>
        <w:jc w:val="both"/>
        <w:outlineLvl w:val="3"/>
      </w:pPr>
      <w:r>
        <w:rPr>
          <w:rFonts w:ascii="楷体_GB2312" w:hAnsi="楷体_GB2312" w:eastAsia="楷体_GB2312"/>
          <w:b/>
          <w:sz w:val="32"/>
        </w:rPr>
        <w:t>（三）国有资产占用情况说明</w:t>
      </w:r>
    </w:p>
    <w:p w14:paraId="146175C9">
      <w:pPr>
        <w:spacing w:line="580" w:lineRule="exact"/>
        <w:ind w:firstLine="640"/>
        <w:jc w:val="both"/>
      </w:pPr>
      <w:r>
        <w:rPr>
          <w:rFonts w:ascii="仿宋_GB2312" w:hAnsi="仿宋_GB2312" w:eastAsia="仿宋_GB2312"/>
          <w:b w:val="0"/>
          <w:sz w:val="32"/>
        </w:rPr>
        <w:t>截至2025年1</w:t>
      </w:r>
      <w:bookmarkStart w:id="0" w:name="_GoBack"/>
      <w:r>
        <w:rPr>
          <w:rFonts w:ascii="仿宋_GB2312" w:hAnsi="仿宋_GB2312" w:eastAsia="仿宋_GB2312"/>
          <w:b w:val="0"/>
          <w:sz w:val="32"/>
        </w:rPr>
        <w:t>2月31日</w:t>
      </w:r>
      <w:bookmarkEnd w:id="0"/>
      <w:r>
        <w:rPr>
          <w:rFonts w:ascii="仿宋_GB2312" w:hAnsi="仿宋_GB2312" w:eastAsia="仿宋_GB2312"/>
          <w:b w:val="0"/>
          <w:sz w:val="32"/>
        </w:rPr>
        <w:t>，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0A3FAA9">
      <w:pPr>
        <w:spacing w:line="640" w:lineRule="exact"/>
        <w:ind w:firstLine="640"/>
        <w:jc w:val="both"/>
        <w:outlineLvl w:val="2"/>
      </w:pPr>
      <w:r>
        <w:rPr>
          <w:rFonts w:ascii="黑体" w:hAnsi="黑体" w:eastAsia="黑体"/>
          <w:sz w:val="32"/>
        </w:rPr>
        <w:t>十一、预算绩效的情况说明</w:t>
      </w:r>
    </w:p>
    <w:p w14:paraId="6511EFE0">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评价项目。发现的问题及原因：本单位无预算绩效评价项目。下一步改进措施：本单位无预算绩效评价项目。</w:t>
      </w:r>
    </w:p>
    <w:p w14:paraId="36E2021E">
      <w:r>
        <w:br w:type="page"/>
      </w:r>
    </w:p>
    <w:p w14:paraId="7CBBE1A1">
      <w:pPr>
        <w:spacing w:line="640" w:lineRule="exact"/>
        <w:ind w:firstLine="640"/>
        <w:jc w:val="both"/>
        <w:outlineLvl w:val="2"/>
      </w:pPr>
      <w:r>
        <w:rPr>
          <w:rFonts w:ascii="黑体" w:hAnsi="黑体" w:eastAsia="黑体"/>
          <w:sz w:val="32"/>
        </w:rPr>
        <w:t>十二、其他需说明的事项</w:t>
      </w:r>
    </w:p>
    <w:p w14:paraId="00A3A08D">
      <w:pPr>
        <w:spacing w:line="580" w:lineRule="exact"/>
        <w:ind w:firstLine="640"/>
        <w:jc w:val="both"/>
      </w:pPr>
      <w:r>
        <w:rPr>
          <w:rFonts w:ascii="仿宋_GB2312" w:hAnsi="仿宋_GB2312" w:eastAsia="仿宋_GB2312"/>
          <w:b w:val="0"/>
          <w:sz w:val="32"/>
        </w:rPr>
        <w:t>本单位无其他需说明的事项。</w:t>
      </w:r>
    </w:p>
    <w:p w14:paraId="5B7330AB">
      <w:r>
        <w:br w:type="page"/>
      </w:r>
    </w:p>
    <w:p w14:paraId="5454BF0A">
      <w:pPr>
        <w:spacing w:line="600" w:lineRule="exact"/>
        <w:jc w:val="center"/>
        <w:outlineLvl w:val="0"/>
      </w:pPr>
      <w:r>
        <w:rPr>
          <w:rFonts w:ascii="黑体" w:hAnsi="黑体" w:eastAsia="黑体"/>
          <w:sz w:val="32"/>
        </w:rPr>
        <w:t>第三部分 专业名词解释</w:t>
      </w:r>
    </w:p>
    <w:p w14:paraId="42797F27">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024D318">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ED00A1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3C906F4">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E0D909">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8BA1E87">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3CA9A604">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FB0C62D">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382162A">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E76057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300B294">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CED0C41">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E295751">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4A554E6">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FDB613C">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77908C59">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9F65FB8">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0BBA2BA">
      <w:r>
        <w:br w:type="page"/>
      </w:r>
    </w:p>
    <w:p w14:paraId="3BD04822">
      <w:pPr>
        <w:spacing w:line="240" w:lineRule="auto"/>
        <w:jc w:val="center"/>
        <w:outlineLvl w:val="1"/>
      </w:pPr>
      <w:r>
        <w:rPr>
          <w:rFonts w:ascii="黑体" w:hAnsi="黑体" w:eastAsia="黑体"/>
          <w:sz w:val="32"/>
        </w:rPr>
        <w:t>第四部分 部门决算报表（见附表）</w:t>
      </w:r>
    </w:p>
    <w:p w14:paraId="2F5E7B56">
      <w:pPr>
        <w:autoSpaceDE w:val="0"/>
        <w:autoSpaceDN w:val="0"/>
        <w:spacing w:line="600" w:lineRule="exact"/>
        <w:ind w:firstLine="640" w:firstLineChars="200"/>
      </w:pPr>
      <w:r>
        <w:rPr>
          <w:rFonts w:ascii="仿宋_GB2312" w:hAnsi="仿宋_GB2312" w:eastAsia="仿宋_GB2312"/>
          <w:b w:val="0"/>
          <w:sz w:val="32"/>
        </w:rPr>
        <w:t>一、《收入支出决算总表》</w:t>
      </w:r>
    </w:p>
    <w:p w14:paraId="6494E0DB">
      <w:pPr>
        <w:autoSpaceDE w:val="0"/>
        <w:autoSpaceDN w:val="0"/>
        <w:spacing w:line="600" w:lineRule="exact"/>
        <w:ind w:firstLine="640" w:firstLineChars="200"/>
      </w:pPr>
      <w:r>
        <w:rPr>
          <w:rFonts w:ascii="仿宋_GB2312" w:hAnsi="仿宋_GB2312" w:eastAsia="仿宋_GB2312"/>
          <w:b w:val="0"/>
          <w:sz w:val="32"/>
        </w:rPr>
        <w:t>二、《收入决算表》</w:t>
      </w:r>
    </w:p>
    <w:p w14:paraId="3D0A9B22">
      <w:pPr>
        <w:autoSpaceDE w:val="0"/>
        <w:autoSpaceDN w:val="0"/>
        <w:spacing w:line="600" w:lineRule="exact"/>
        <w:ind w:firstLine="640" w:firstLineChars="200"/>
      </w:pPr>
      <w:r>
        <w:rPr>
          <w:rFonts w:ascii="仿宋_GB2312" w:hAnsi="仿宋_GB2312" w:eastAsia="仿宋_GB2312"/>
          <w:b w:val="0"/>
          <w:sz w:val="32"/>
        </w:rPr>
        <w:t>三、《支出决算表》</w:t>
      </w:r>
    </w:p>
    <w:p w14:paraId="13951CC7">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EFCE5DD">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2429CC5C">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0E0A783">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11657BBB">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7FAB988">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6F5926E">
      <w:pPr>
        <w:autoSpaceDE w:val="0"/>
        <w:autoSpaceDN w:val="0"/>
        <w:spacing w:line="600" w:lineRule="exact"/>
        <w:ind w:firstLine="640" w:firstLineChars="200"/>
      </w:pPr>
    </w:p>
    <w:p w14:paraId="11DD9305">
      <w:pPr>
        <w:autoSpaceDE w:val="0"/>
        <w:autoSpaceDN w:val="0"/>
        <w:spacing w:line="600" w:lineRule="exact"/>
        <w:ind w:firstLine="640" w:firstLineChars="200"/>
      </w:pPr>
    </w:p>
    <w:p w14:paraId="66A0ACFA">
      <w:pPr>
        <w:autoSpaceDE w:val="0"/>
        <w:autoSpaceDN w:val="0"/>
        <w:spacing w:line="600" w:lineRule="exact"/>
        <w:ind w:firstLine="640" w:firstLineChars="200"/>
      </w:pPr>
    </w:p>
    <w:p w14:paraId="57CE5930">
      <w:pPr>
        <w:autoSpaceDE w:val="0"/>
        <w:autoSpaceDN w:val="0"/>
        <w:spacing w:line="600" w:lineRule="exact"/>
        <w:ind w:firstLine="640" w:firstLineChars="200"/>
      </w:pPr>
    </w:p>
    <w:p w14:paraId="53476AAB">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EB0256-6B4B-4980-AEC2-091C51E79C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4EEFF4E-11B5-494A-8220-7AF75D82C3ED}"/>
  </w:font>
  <w:font w:name="仿宋_GB2312">
    <w:panose1 w:val="02010609030101010101"/>
    <w:charset w:val="86"/>
    <w:family w:val="modern"/>
    <w:pitch w:val="default"/>
    <w:sig w:usb0="00000001" w:usb1="080E0000" w:usb2="00000000" w:usb3="00000000" w:csb0="00040000" w:csb1="00000000"/>
    <w:embedRegular r:id="rId3" w:fontKey="{B9129577-A5E0-4003-B8BE-6B617031C552}"/>
  </w:font>
  <w:font w:name="楷体_GB2312">
    <w:altName w:val="楷体"/>
    <w:panose1 w:val="00000000000000000000"/>
    <w:charset w:val="00"/>
    <w:family w:val="auto"/>
    <w:pitch w:val="default"/>
    <w:sig w:usb0="00000000" w:usb1="00000000" w:usb2="00000000" w:usb3="00000000" w:csb0="00000000" w:csb1="00000000"/>
    <w:embedRegular r:id="rId4" w:fontKey="{9186DE16-BFF1-4206-9E29-07ED8DCE7D05}"/>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9760D2A"/>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2C77A8"/>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d08a369d-e236-4f57-9cc5-ae841d9edd4d</errorID>
      <errorWord>2月31日</errorWord>
      <group>L1_Sensitive</group>
      <groupName>敏感问题</groupName>
      <ability>L2_UserSensitive</ability>
      <abilityName>自定义敏感词</abilityName>
      <candidateList/>
      <explain>来自自定义敏感词库。</explain>
      <paraID>146175C9</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b498a4bc-c7a9-4211-ae91-3bd40f3a5da6}">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4959</Words>
  <Characters>5555</Characters>
  <Lines>10</Lines>
  <Paragraphs>2</Paragraphs>
  <TotalTime>8</TotalTime>
  <ScaleCrop>false</ScaleCrop>
  <LinksUpToDate>false</LinksUpToDate>
  <CharactersWithSpaces>5565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2026-09-03T08:52:26Z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